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2015698</w:t>
      </w:r>
      <w:bookmarkEnd w:id="1"/>
    </w:p>
    <w:p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rsidR="00E13C27" w:rsidRPr="00F67051" w:rsidRDefault="00E13C27" w:rsidP="00E13C27">
      <w:pPr>
        <w:rPr>
          <w:rFonts w:cs="David"/>
          <w:b/>
          <w:bCs/>
          <w:sz w:val="26"/>
          <w:szCs w:val="26"/>
          <w:rtl/>
        </w:rPr>
      </w:pPr>
    </w:p>
    <w:p w:rsidR="00E13C27" w:rsidRPr="00CF1AA2" w:rsidRDefault="008F6665" w:rsidP="00523483">
      <w:pPr>
        <w:pStyle w:val="David"/>
        <w:spacing w:line="360" w:lineRule="auto"/>
        <w:ind w:left="3544"/>
        <w:rPr>
          <w:b/>
          <w:bCs/>
          <w:sz w:val="16"/>
          <w:szCs w:val="16"/>
          <w:rtl/>
        </w:rPr>
      </w:pPr>
      <w:bookmarkStart w:id="3" w:name="LGS_Initiators_List"/>
      <w:r>
        <w:rPr>
          <w:b/>
          <w:bCs/>
          <w:rtl/>
        </w:rPr>
        <w:t>יוזמים:      חברי הכנסת</w:t>
      </w:r>
      <w:bookmarkEnd w:id="3"/>
      <w:r w:rsidR="00B35784" w:rsidRPr="00F67051">
        <w:rPr>
          <w:b/>
          <w:bCs/>
        </w:rPr>
        <w:tab/>
      </w:r>
      <w:bookmarkStart w:id="4" w:name="LGS_PM_Names"/>
      <w:r>
        <w:rPr>
          <w:rFonts w:hint="cs"/>
          <w:b/>
          <w:bCs/>
          <w:rtl/>
        </w:rPr>
        <w:t>נחמן שי</w:t>
      </w:r>
      <w:r>
        <w:br/>
      </w:r>
      <w:r>
        <w:rPr>
          <w:rFonts w:hint="cs"/>
          <w:b/>
          <w:bCs/>
          <w:rtl/>
        </w:rPr>
        <w:t xml:space="preserve"> </w:t>
      </w:r>
      <w:r>
        <w:tab/>
      </w:r>
      <w:r>
        <w:tab/>
      </w:r>
      <w:r>
        <w:tab/>
      </w:r>
      <w:r>
        <w:tab/>
      </w:r>
      <w:proofErr w:type="spellStart"/>
      <w:r>
        <w:rPr>
          <w:rFonts w:hint="cs"/>
          <w:b/>
          <w:bCs/>
          <w:rtl/>
        </w:rPr>
        <w:t>קסניה</w:t>
      </w:r>
      <w:proofErr w:type="spellEnd"/>
      <w:r>
        <w:rPr>
          <w:rFonts w:hint="cs"/>
          <w:b/>
          <w:bCs/>
          <w:rtl/>
        </w:rPr>
        <w:t xml:space="preserve"> </w:t>
      </w:r>
      <w:proofErr w:type="spellStart"/>
      <w:r>
        <w:rPr>
          <w:rFonts w:hint="cs"/>
          <w:b/>
          <w:bCs/>
          <w:rtl/>
        </w:rPr>
        <w:t>סבטלובה</w:t>
      </w:r>
      <w:proofErr w:type="spellEnd"/>
      <w:r>
        <w:br/>
      </w:r>
      <w:r>
        <w:rPr>
          <w:rFonts w:hint="cs"/>
          <w:b/>
          <w:bCs/>
          <w:rtl/>
        </w:rPr>
        <w:t xml:space="preserve"> </w:t>
      </w:r>
      <w:r>
        <w:tab/>
      </w:r>
      <w:r>
        <w:tab/>
      </w:r>
      <w:r>
        <w:tab/>
      </w:r>
      <w:r>
        <w:tab/>
      </w:r>
      <w:r>
        <w:rPr>
          <w:rFonts w:hint="cs"/>
          <w:b/>
          <w:bCs/>
          <w:rtl/>
        </w:rPr>
        <w:t>מיכל בירן</w:t>
      </w:r>
      <w:r>
        <w:br/>
      </w:r>
      <w:r>
        <w:rPr>
          <w:rFonts w:hint="cs"/>
          <w:b/>
          <w:bCs/>
          <w:rtl/>
        </w:rPr>
        <w:t xml:space="preserve"> </w:t>
      </w:r>
      <w:r>
        <w:tab/>
      </w:r>
      <w:r>
        <w:tab/>
      </w:r>
      <w:r>
        <w:tab/>
      </w:r>
      <w:r>
        <w:tab/>
      </w:r>
      <w:r>
        <w:rPr>
          <w:rFonts w:hint="cs"/>
          <w:b/>
          <w:bCs/>
          <w:rtl/>
        </w:rPr>
        <w:t>איתן כבל</w:t>
      </w:r>
      <w:r>
        <w:br/>
      </w:r>
      <w:r>
        <w:rPr>
          <w:rFonts w:hint="cs"/>
          <w:b/>
          <w:bCs/>
          <w:rtl/>
        </w:rPr>
        <w:t xml:space="preserve"> </w:t>
      </w:r>
      <w:r>
        <w:tab/>
      </w:r>
      <w:r>
        <w:tab/>
      </w:r>
      <w:r>
        <w:tab/>
      </w:r>
      <w:r>
        <w:tab/>
      </w:r>
      <w:r>
        <w:rPr>
          <w:rFonts w:hint="cs"/>
          <w:b/>
          <w:bCs/>
          <w:rtl/>
        </w:rPr>
        <w:t>אורן אסף חזן</w:t>
      </w:r>
      <w:r>
        <w:br/>
      </w:r>
      <w:r>
        <w:rPr>
          <w:rFonts w:hint="cs"/>
          <w:b/>
          <w:bCs/>
          <w:rtl/>
        </w:rPr>
        <w:t xml:space="preserve"> </w:t>
      </w:r>
      <w:r>
        <w:tab/>
      </w:r>
      <w:r>
        <w:tab/>
      </w:r>
      <w:r>
        <w:tab/>
      </w:r>
      <w:r>
        <w:tab/>
      </w:r>
      <w:r>
        <w:rPr>
          <w:rFonts w:hint="cs"/>
          <w:b/>
          <w:bCs/>
          <w:rtl/>
        </w:rPr>
        <w:t>יעל כהן-פארן</w:t>
      </w:r>
      <w:r>
        <w:br/>
      </w:r>
      <w:r>
        <w:rPr>
          <w:rFonts w:hint="cs"/>
          <w:b/>
          <w:bCs/>
          <w:rtl/>
        </w:rPr>
        <w:t xml:space="preserve"> </w:t>
      </w:r>
      <w:r>
        <w:tab/>
      </w:r>
      <w:r>
        <w:tab/>
      </w:r>
      <w:r>
        <w:tab/>
      </w:r>
      <w:r>
        <w:tab/>
      </w:r>
      <w:r>
        <w:rPr>
          <w:rFonts w:hint="cs"/>
          <w:b/>
          <w:bCs/>
          <w:rtl/>
        </w:rPr>
        <w:t>יואל חסון</w:t>
      </w:r>
      <w:r>
        <w:br/>
      </w:r>
      <w:r>
        <w:rPr>
          <w:rFonts w:hint="cs"/>
          <w:b/>
          <w:bCs/>
          <w:rtl/>
        </w:rPr>
        <w:t xml:space="preserve"> </w:t>
      </w:r>
      <w:r>
        <w:tab/>
      </w:r>
      <w:r>
        <w:tab/>
      </w:r>
      <w:r>
        <w:tab/>
      </w:r>
      <w:r>
        <w:tab/>
      </w:r>
      <w:proofErr w:type="spellStart"/>
      <w:r>
        <w:rPr>
          <w:rFonts w:hint="cs"/>
          <w:b/>
          <w:bCs/>
          <w:rtl/>
        </w:rPr>
        <w:t>זוהיר</w:t>
      </w:r>
      <w:proofErr w:type="spellEnd"/>
      <w:r>
        <w:rPr>
          <w:rFonts w:hint="cs"/>
          <w:b/>
          <w:bCs/>
          <w:rtl/>
        </w:rPr>
        <w:t xml:space="preserve"> </w:t>
      </w:r>
      <w:proofErr w:type="spellStart"/>
      <w:r>
        <w:rPr>
          <w:rFonts w:hint="cs"/>
          <w:b/>
          <w:bCs/>
          <w:rtl/>
        </w:rPr>
        <w:t>בהלול</w:t>
      </w:r>
      <w:proofErr w:type="spellEnd"/>
      <w:r>
        <w:br/>
      </w:r>
      <w:r>
        <w:rPr>
          <w:rFonts w:hint="cs"/>
          <w:b/>
          <w:bCs/>
          <w:rtl/>
        </w:rPr>
        <w:t xml:space="preserve"> </w:t>
      </w:r>
      <w:r>
        <w:tab/>
      </w:r>
      <w:r>
        <w:tab/>
      </w:r>
      <w:r>
        <w:tab/>
      </w:r>
      <w:r>
        <w:tab/>
      </w:r>
      <w:r>
        <w:rPr>
          <w:rFonts w:hint="cs"/>
          <w:b/>
          <w:bCs/>
          <w:rtl/>
        </w:rPr>
        <w:t>איל בן ראובן</w:t>
      </w:r>
      <w:r>
        <w:br/>
      </w:r>
      <w:r>
        <w:rPr>
          <w:rFonts w:hint="cs"/>
          <w:b/>
          <w:bCs/>
          <w:rtl/>
        </w:rPr>
        <w:t xml:space="preserve"> </w:t>
      </w:r>
      <w:r>
        <w:tab/>
      </w:r>
      <w:r>
        <w:tab/>
      </w:r>
      <w:r>
        <w:tab/>
      </w:r>
      <w:r>
        <w:tab/>
      </w:r>
      <w:r>
        <w:rPr>
          <w:rFonts w:hint="cs"/>
          <w:b/>
          <w:bCs/>
          <w:rtl/>
        </w:rPr>
        <w:t>מיכל רוזין</w:t>
      </w:r>
      <w:r>
        <w:br/>
      </w:r>
      <w:r>
        <w:rPr>
          <w:rFonts w:hint="cs"/>
          <w:b/>
          <w:bCs/>
          <w:rtl/>
        </w:rPr>
        <w:t xml:space="preserve"> </w:t>
      </w:r>
      <w:r>
        <w:tab/>
      </w:r>
      <w:r>
        <w:tab/>
      </w:r>
      <w:r>
        <w:tab/>
      </w:r>
      <w:r>
        <w:tab/>
      </w:r>
      <w:r>
        <w:rPr>
          <w:rFonts w:hint="cs"/>
          <w:b/>
          <w:bCs/>
          <w:rtl/>
        </w:rPr>
        <w:t>תמר זנדברג</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 xml:space="preserve">יחיאל </w:t>
      </w:r>
      <w:proofErr w:type="spellStart"/>
      <w:r>
        <w:rPr>
          <w:rFonts w:hint="cs"/>
          <w:b/>
          <w:bCs/>
          <w:rtl/>
        </w:rPr>
        <w:t>חיליק</w:t>
      </w:r>
      <w:proofErr w:type="spellEnd"/>
      <w:r>
        <w:rPr>
          <w:rFonts w:hint="cs"/>
          <w:b/>
          <w:bCs/>
          <w:rtl/>
        </w:rPr>
        <w:t xml:space="preserve"> בר</w:t>
      </w:r>
      <w:r>
        <w:br/>
      </w:r>
      <w:r>
        <w:rPr>
          <w:rFonts w:hint="cs"/>
          <w:b/>
          <w:bCs/>
          <w:rtl/>
        </w:rPr>
        <w:t xml:space="preserve"> </w:t>
      </w:r>
      <w:r>
        <w:tab/>
      </w:r>
      <w:r>
        <w:tab/>
      </w:r>
      <w:r>
        <w:tab/>
      </w:r>
      <w:r>
        <w:tab/>
      </w:r>
      <w:r>
        <w:rPr>
          <w:rFonts w:hint="cs"/>
          <w:b/>
          <w:bCs/>
          <w:rtl/>
        </w:rPr>
        <w:t>מרב מיכאלי</w:t>
      </w:r>
      <w:r>
        <w:br/>
      </w:r>
      <w:r>
        <w:rPr>
          <w:rFonts w:hint="cs"/>
          <w:b/>
          <w:bCs/>
          <w:rtl/>
        </w:rPr>
        <w:t xml:space="preserve"> </w:t>
      </w:r>
      <w:r>
        <w:tab/>
      </w:r>
      <w:r>
        <w:tab/>
      </w:r>
      <w:r>
        <w:tab/>
      </w:r>
      <w:r>
        <w:tab/>
      </w:r>
      <w:r>
        <w:rPr>
          <w:rFonts w:hint="cs"/>
          <w:b/>
          <w:bCs/>
          <w:rtl/>
        </w:rPr>
        <w:t>אורלי לוי אבקסיס</w:t>
      </w:r>
      <w:r>
        <w:br/>
      </w:r>
      <w:r>
        <w:rPr>
          <w:rFonts w:hint="cs"/>
          <w:b/>
          <w:bCs/>
          <w:rtl/>
        </w:rPr>
        <w:t xml:space="preserve"> </w:t>
      </w:r>
      <w:r>
        <w:tab/>
      </w:r>
      <w:r>
        <w:tab/>
      </w:r>
      <w:r>
        <w:tab/>
      </w:r>
      <w:r>
        <w:tab/>
      </w:r>
      <w:r>
        <w:rPr>
          <w:rFonts w:hint="cs"/>
          <w:b/>
          <w:bCs/>
          <w:rtl/>
        </w:rPr>
        <w:t>מרדכי יוגב</w:t>
      </w:r>
      <w:r>
        <w:br/>
      </w:r>
      <w:r>
        <w:rPr>
          <w:rFonts w:hint="cs"/>
          <w:b/>
          <w:bCs/>
          <w:rtl/>
        </w:rPr>
        <w:t xml:space="preserve"> </w:t>
      </w:r>
      <w:r>
        <w:tab/>
      </w:r>
      <w:r>
        <w:tab/>
      </w:r>
      <w:r>
        <w:tab/>
      </w:r>
      <w:r>
        <w:tab/>
      </w:r>
      <w:r>
        <w:rPr>
          <w:rFonts w:hint="cs"/>
          <w:b/>
          <w:bCs/>
          <w:rtl/>
        </w:rPr>
        <w:t>איציק שמולי</w:t>
      </w:r>
      <w:r>
        <w:br/>
      </w:r>
      <w:r>
        <w:rPr>
          <w:rFonts w:hint="cs"/>
          <w:b/>
          <w:bCs/>
          <w:rtl/>
        </w:rPr>
        <w:t xml:space="preserve"> </w:t>
      </w:r>
      <w:r>
        <w:tab/>
      </w:r>
      <w:r>
        <w:tab/>
      </w:r>
      <w:r>
        <w:tab/>
      </w:r>
      <w:r>
        <w:tab/>
      </w:r>
      <w:r>
        <w:rPr>
          <w:rFonts w:hint="cs"/>
          <w:b/>
          <w:bCs/>
          <w:rtl/>
        </w:rPr>
        <w:t>ענת ברקו</w:t>
      </w:r>
      <w:bookmarkStart w:id="5" w:name="LGS_Join_List"/>
      <w:bookmarkEnd w:id="4"/>
      <w:r w:rsidR="007D585A">
        <w:rPr>
          <w:rtl/>
        </w:rPr>
        <w:t xml:space="preserve"> </w:t>
      </w:r>
      <w:bookmarkEnd w:id="5"/>
      <w:r w:rsidR="002200A1" w:rsidRPr="00CF1AA2">
        <w:rPr>
          <w:rFonts w:hint="cs"/>
          <w:rtl/>
        </w:rPr>
        <w:tab/>
      </w:r>
      <w:bookmarkStart w:id="6" w:name="LGS_PM_NamesJoin"/>
      <w:r w:rsidR="007D585A">
        <w:rPr>
          <w:rFonts w:hint="cs"/>
          <w:rtl/>
        </w:rPr>
        <w:t xml:space="preserve"> </w:t>
      </w:r>
      <w:bookmarkEnd w:id="6"/>
    </w:p>
    <w:p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פ/4164/20</w:t>
      </w:r>
      <w:bookmarkEnd w:id="7"/>
    </w:p>
    <w:p w:rsidR="00E13C27" w:rsidRDefault="00E13C27" w:rsidP="00E13C27">
      <w:pPr>
        <w:spacing w:before="0" w:line="360" w:lineRule="auto"/>
        <w:ind w:left="2880" w:firstLine="720"/>
        <w:rPr>
          <w:rFonts w:cs="David"/>
          <w:sz w:val="26"/>
          <w:szCs w:val="26"/>
          <w:rtl/>
        </w:rPr>
      </w:pPr>
    </w:p>
    <w:p w:rsidR="00E13C27" w:rsidRDefault="00A443CF" w:rsidP="00523483">
      <w:pPr>
        <w:pStyle w:val="HeadHatzaotHok"/>
        <w:rPr>
          <w:rtl/>
        </w:rPr>
      </w:pPr>
      <w:bookmarkStart w:id="8" w:name="LGS_Subject"/>
      <w:r>
        <w:rPr>
          <w:rFonts w:hint="cs"/>
          <w:rtl/>
        </w:rPr>
        <w:t xml:space="preserve">הצעת חוק פיקוח על מוצרים בבסיסי צבא הגנה לישראל, </w:t>
      </w:r>
      <w:proofErr w:type="spellStart"/>
      <w:r>
        <w:rPr>
          <w:rFonts w:hint="cs"/>
          <w:rtl/>
        </w:rPr>
        <w:t>התשע"ז</w:t>
      </w:r>
      <w:proofErr w:type="spellEnd"/>
      <w:r w:rsidR="00523483">
        <w:rPr>
          <w:rFonts w:hint="eastAsia"/>
          <w:rtl/>
        </w:rPr>
        <w:t>–</w:t>
      </w:r>
      <w:r>
        <w:rPr>
          <w:rFonts w:hint="cs"/>
          <w:rtl/>
        </w:rPr>
        <w:t>2017</w:t>
      </w:r>
      <w:bookmarkEnd w:id="8"/>
    </w:p>
    <w:p w:rsidR="00CE7922" w:rsidRPr="00F67051" w:rsidRDefault="00CE7922" w:rsidP="0021633A">
      <w:pPr>
        <w:pStyle w:val="HeadHatzaotHok"/>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CE7922" w:rsidTr="00523483">
        <w:trPr>
          <w:cantSplit/>
        </w:trPr>
        <w:tc>
          <w:tcPr>
            <w:tcW w:w="1871" w:type="dxa"/>
          </w:tcPr>
          <w:p w:rsidR="00CE7922" w:rsidRDefault="00CE7922" w:rsidP="008D181D">
            <w:pPr>
              <w:pStyle w:val="TableSideHeading"/>
              <w:keepLines w:val="0"/>
            </w:pPr>
            <w:r>
              <w:rPr>
                <w:rFonts w:hint="cs"/>
                <w:rtl/>
              </w:rPr>
              <w:t>מטרה</w:t>
            </w:r>
          </w:p>
        </w:tc>
        <w:tc>
          <w:tcPr>
            <w:tcW w:w="624" w:type="dxa"/>
          </w:tcPr>
          <w:p w:rsidR="00CE7922" w:rsidRDefault="00CE7922" w:rsidP="008D181D">
            <w:pPr>
              <w:pStyle w:val="TableText"/>
              <w:keepLines w:val="0"/>
            </w:pPr>
            <w:r>
              <w:rPr>
                <w:rFonts w:hint="cs"/>
                <w:rtl/>
              </w:rPr>
              <w:t>1.</w:t>
            </w:r>
          </w:p>
        </w:tc>
        <w:tc>
          <w:tcPr>
            <w:tcW w:w="7143" w:type="dxa"/>
          </w:tcPr>
          <w:p w:rsidR="00CE7922" w:rsidRPr="00F820AC" w:rsidRDefault="00D85204" w:rsidP="00523483">
            <w:pPr>
              <w:pStyle w:val="TableBlock"/>
            </w:pPr>
            <w:r>
              <w:rPr>
                <w:rFonts w:hint="cs"/>
                <w:rtl/>
              </w:rPr>
              <w:t>מטרתו של חוק זה להסדיר</w:t>
            </w:r>
            <w:r w:rsidR="00CE7922" w:rsidRPr="00D85204">
              <w:rPr>
                <w:rtl/>
              </w:rPr>
              <w:t xml:space="preserve"> </w:t>
            </w:r>
            <w:r w:rsidR="00CE7922" w:rsidRPr="00D85204">
              <w:rPr>
                <w:rFonts w:hint="eastAsia"/>
                <w:rtl/>
              </w:rPr>
              <w:t>סל</w:t>
            </w:r>
            <w:r w:rsidR="00CE7922" w:rsidRPr="00D85204">
              <w:rPr>
                <w:rtl/>
              </w:rPr>
              <w:t xml:space="preserve"> </w:t>
            </w:r>
            <w:r w:rsidR="00CE7922" w:rsidRPr="00D85204">
              <w:rPr>
                <w:rFonts w:hint="eastAsia"/>
                <w:rtl/>
              </w:rPr>
              <w:t>מוצרי</w:t>
            </w:r>
            <w:r w:rsidR="00CE7922" w:rsidRPr="00D85204">
              <w:rPr>
                <w:rtl/>
              </w:rPr>
              <w:t xml:space="preserve"> </w:t>
            </w:r>
            <w:r w:rsidR="00CE7922" w:rsidRPr="00D85204">
              <w:rPr>
                <w:rFonts w:hint="eastAsia"/>
                <w:rtl/>
              </w:rPr>
              <w:t>בסיס</w:t>
            </w:r>
            <w:r w:rsidR="00CE7922" w:rsidRPr="00D85204">
              <w:rPr>
                <w:rtl/>
              </w:rPr>
              <w:t xml:space="preserve"> </w:t>
            </w:r>
            <w:r w:rsidR="00CE7922" w:rsidRPr="00D85204">
              <w:rPr>
                <w:rFonts w:hint="eastAsia"/>
                <w:rtl/>
              </w:rPr>
              <w:t>שי</w:t>
            </w:r>
            <w:r w:rsidR="00523483">
              <w:rPr>
                <w:rFonts w:hint="cs"/>
                <w:rtl/>
              </w:rPr>
              <w:t>י</w:t>
            </w:r>
            <w:r w:rsidR="00CE7922" w:rsidRPr="00D85204">
              <w:rPr>
                <w:rFonts w:hint="eastAsia"/>
                <w:rtl/>
              </w:rPr>
              <w:t>מצאו</w:t>
            </w:r>
            <w:r w:rsidR="00CE7922" w:rsidRPr="00D85204">
              <w:rPr>
                <w:rtl/>
              </w:rPr>
              <w:t xml:space="preserve"> </w:t>
            </w:r>
            <w:r w:rsidR="00CE7922" w:rsidRPr="00D85204">
              <w:rPr>
                <w:rFonts w:hint="eastAsia"/>
                <w:rtl/>
              </w:rPr>
              <w:t>בכל</w:t>
            </w:r>
            <w:r w:rsidR="00CE7922" w:rsidRPr="00D85204">
              <w:rPr>
                <w:rtl/>
              </w:rPr>
              <w:t xml:space="preserve"> </w:t>
            </w:r>
            <w:r w:rsidR="00CE7922" w:rsidRPr="00D85204">
              <w:rPr>
                <w:rFonts w:hint="eastAsia"/>
                <w:rtl/>
              </w:rPr>
              <w:t>מזנון</w:t>
            </w:r>
            <w:r w:rsidR="00301B43">
              <w:rPr>
                <w:rFonts w:hint="cs"/>
                <w:rtl/>
              </w:rPr>
              <w:t xml:space="preserve"> בשרי או חלבי</w:t>
            </w:r>
            <w:r w:rsidR="00CE7922" w:rsidRPr="00D85204">
              <w:rPr>
                <w:rtl/>
              </w:rPr>
              <w:t xml:space="preserve"> </w:t>
            </w:r>
            <w:r w:rsidR="00CE7922" w:rsidRPr="00D85204">
              <w:rPr>
                <w:rFonts w:hint="eastAsia"/>
                <w:rtl/>
              </w:rPr>
              <w:t>בבסיס</w:t>
            </w:r>
            <w:r w:rsidR="00CE7922" w:rsidRPr="00D85204">
              <w:rPr>
                <w:rtl/>
              </w:rPr>
              <w:t xml:space="preserve"> </w:t>
            </w:r>
            <w:r w:rsidR="00CE7922" w:rsidRPr="00D85204">
              <w:rPr>
                <w:rFonts w:hint="eastAsia"/>
                <w:rtl/>
              </w:rPr>
              <w:t>צבאי</w:t>
            </w:r>
            <w:r w:rsidR="00CE7922" w:rsidRPr="00D85204">
              <w:rPr>
                <w:rtl/>
              </w:rPr>
              <w:t>.</w:t>
            </w:r>
          </w:p>
        </w:tc>
      </w:tr>
      <w:tr w:rsidR="00CE7922" w:rsidTr="00523483">
        <w:trPr>
          <w:cantSplit/>
        </w:trPr>
        <w:tc>
          <w:tcPr>
            <w:tcW w:w="1871" w:type="dxa"/>
          </w:tcPr>
          <w:p w:rsidR="00CE7922" w:rsidRDefault="00CE7922" w:rsidP="008D181D">
            <w:pPr>
              <w:pStyle w:val="TableSideHeading"/>
              <w:keepLines w:val="0"/>
            </w:pPr>
            <w:r>
              <w:rPr>
                <w:rFonts w:hint="cs"/>
                <w:rtl/>
              </w:rPr>
              <w:t>קביעת סל מוצרי בסיס</w:t>
            </w:r>
          </w:p>
        </w:tc>
        <w:tc>
          <w:tcPr>
            <w:tcW w:w="624" w:type="dxa"/>
          </w:tcPr>
          <w:p w:rsidR="00CE7922" w:rsidRDefault="00CE7922" w:rsidP="008D181D">
            <w:pPr>
              <w:pStyle w:val="TableText"/>
              <w:keepLines w:val="0"/>
            </w:pPr>
            <w:r>
              <w:rPr>
                <w:rFonts w:hint="cs"/>
                <w:rtl/>
              </w:rPr>
              <w:t>2.</w:t>
            </w:r>
          </w:p>
        </w:tc>
        <w:tc>
          <w:tcPr>
            <w:tcW w:w="7143" w:type="dxa"/>
          </w:tcPr>
          <w:p w:rsidR="00CE7922" w:rsidRPr="00D85204" w:rsidRDefault="00CE7922" w:rsidP="00523483">
            <w:pPr>
              <w:pStyle w:val="TableBlock"/>
            </w:pPr>
            <w:r w:rsidRPr="00D85204">
              <w:rPr>
                <w:rFonts w:hint="eastAsia"/>
                <w:rtl/>
              </w:rPr>
              <w:t>שר</w:t>
            </w:r>
            <w:r w:rsidRPr="00D85204">
              <w:rPr>
                <w:rtl/>
              </w:rPr>
              <w:t xml:space="preserve"> הביטחון יקבע מוצרי בסיס לעניין חוק זה ואת מחיריהם המרביים. </w:t>
            </w:r>
          </w:p>
        </w:tc>
      </w:tr>
      <w:tr w:rsidR="00CE7922" w:rsidTr="00523483">
        <w:trPr>
          <w:cantSplit/>
        </w:trPr>
        <w:tc>
          <w:tcPr>
            <w:tcW w:w="1871" w:type="dxa"/>
          </w:tcPr>
          <w:p w:rsidR="00CE7922" w:rsidRDefault="00CE7922" w:rsidP="008D181D">
            <w:pPr>
              <w:pStyle w:val="TableSideHeading"/>
              <w:keepLines w:val="0"/>
              <w:rPr>
                <w:rtl/>
              </w:rPr>
            </w:pPr>
            <w:r>
              <w:rPr>
                <w:rFonts w:hint="cs"/>
                <w:rtl/>
              </w:rPr>
              <w:t>הוראות לעניין התקשרות עם זכיין</w:t>
            </w:r>
          </w:p>
        </w:tc>
        <w:tc>
          <w:tcPr>
            <w:tcW w:w="624" w:type="dxa"/>
          </w:tcPr>
          <w:p w:rsidR="00CE7922" w:rsidRDefault="00CE7922" w:rsidP="008D181D">
            <w:pPr>
              <w:pStyle w:val="TableText"/>
            </w:pPr>
            <w:r>
              <w:rPr>
                <w:rFonts w:hint="cs"/>
                <w:rtl/>
              </w:rPr>
              <w:t xml:space="preserve">3. </w:t>
            </w:r>
          </w:p>
        </w:tc>
        <w:tc>
          <w:tcPr>
            <w:tcW w:w="7143" w:type="dxa"/>
          </w:tcPr>
          <w:p w:rsidR="00CE7922" w:rsidRPr="00D85204" w:rsidRDefault="00CE7922" w:rsidP="00523483">
            <w:pPr>
              <w:pStyle w:val="TableBlock"/>
              <w:rPr>
                <w:rtl/>
              </w:rPr>
            </w:pPr>
            <w:r w:rsidRPr="00D85204">
              <w:rPr>
                <w:rFonts w:hint="eastAsia"/>
                <w:rtl/>
              </w:rPr>
              <w:t>לא</w:t>
            </w:r>
            <w:r w:rsidRPr="00D85204">
              <w:rPr>
                <w:rtl/>
              </w:rPr>
              <w:t xml:space="preserve"> יתקשר משרד הביטחון או צבא הגנה לישראל עם זכיין להפעלת מקום לממכר מוצרי מזון בבסיס של צבא הגנה לישראל, אלא אם כן התחייב הזכיין, במסגרת ההתקשרות, כי ימכור במקום שיפעיל את מוצרי הבסיס שקבע השר לפי סעיף 2, ובמחיר שלא יעלה על המחיר שנקבע </w:t>
            </w:r>
            <w:r w:rsidRPr="00D85204">
              <w:rPr>
                <w:rFonts w:hint="eastAsia"/>
                <w:rtl/>
              </w:rPr>
              <w:t>לפי</w:t>
            </w:r>
            <w:r w:rsidRPr="00D85204">
              <w:rPr>
                <w:rtl/>
              </w:rPr>
              <w:t xml:space="preserve"> </w:t>
            </w:r>
            <w:r w:rsidRPr="00D85204">
              <w:rPr>
                <w:rFonts w:hint="eastAsia"/>
                <w:rtl/>
              </w:rPr>
              <w:t>אותו</w:t>
            </w:r>
            <w:r w:rsidRPr="00D85204">
              <w:rPr>
                <w:rtl/>
              </w:rPr>
              <w:t xml:space="preserve"> סעיף.  </w:t>
            </w:r>
          </w:p>
        </w:tc>
      </w:tr>
      <w:tr w:rsidR="00CE7922" w:rsidTr="00523483">
        <w:trPr>
          <w:cantSplit/>
        </w:trPr>
        <w:tc>
          <w:tcPr>
            <w:tcW w:w="1871" w:type="dxa"/>
          </w:tcPr>
          <w:p w:rsidR="00CE7922" w:rsidRDefault="00CE7922" w:rsidP="008D181D">
            <w:pPr>
              <w:pStyle w:val="TableSideHeading"/>
              <w:keepLines w:val="0"/>
              <w:rPr>
                <w:rtl/>
              </w:rPr>
            </w:pPr>
            <w:r>
              <w:rPr>
                <w:rFonts w:hint="cs"/>
                <w:rtl/>
              </w:rPr>
              <w:lastRenderedPageBreak/>
              <w:t xml:space="preserve">ביצוע ותקנות </w:t>
            </w:r>
          </w:p>
        </w:tc>
        <w:tc>
          <w:tcPr>
            <w:tcW w:w="624" w:type="dxa"/>
          </w:tcPr>
          <w:p w:rsidR="00CE7922" w:rsidRDefault="00CE7922" w:rsidP="008D181D">
            <w:pPr>
              <w:pStyle w:val="TableText"/>
            </w:pPr>
            <w:r>
              <w:rPr>
                <w:rFonts w:hint="cs"/>
                <w:rtl/>
              </w:rPr>
              <w:t>4.</w:t>
            </w:r>
          </w:p>
        </w:tc>
        <w:tc>
          <w:tcPr>
            <w:tcW w:w="7143" w:type="dxa"/>
          </w:tcPr>
          <w:p w:rsidR="00CE7922" w:rsidRPr="00D85204" w:rsidRDefault="00CE7922" w:rsidP="00523483">
            <w:pPr>
              <w:pStyle w:val="TableBlock"/>
              <w:rPr>
                <w:rtl/>
              </w:rPr>
            </w:pPr>
            <w:r w:rsidRPr="00D85204">
              <w:rPr>
                <w:rFonts w:hint="eastAsia"/>
                <w:rtl/>
              </w:rPr>
              <w:t>שר</w:t>
            </w:r>
            <w:r w:rsidRPr="00D85204">
              <w:rPr>
                <w:rtl/>
              </w:rPr>
              <w:t xml:space="preserve"> </w:t>
            </w:r>
            <w:r w:rsidRPr="00D85204">
              <w:rPr>
                <w:rFonts w:hint="eastAsia"/>
                <w:rtl/>
              </w:rPr>
              <w:t>הביטחון</w:t>
            </w:r>
            <w:r w:rsidRPr="00D85204">
              <w:rPr>
                <w:rtl/>
              </w:rPr>
              <w:t xml:space="preserve"> </w:t>
            </w:r>
            <w:r w:rsidRPr="00D85204">
              <w:rPr>
                <w:rFonts w:hint="eastAsia"/>
                <w:rtl/>
              </w:rPr>
              <w:t>הממונה</w:t>
            </w:r>
            <w:r w:rsidRPr="00D85204">
              <w:rPr>
                <w:rtl/>
              </w:rPr>
              <w:t xml:space="preserve"> </w:t>
            </w:r>
            <w:r w:rsidRPr="00D85204">
              <w:rPr>
                <w:rFonts w:hint="eastAsia"/>
                <w:rtl/>
              </w:rPr>
              <w:t>על</w:t>
            </w:r>
            <w:r w:rsidRPr="00D85204">
              <w:rPr>
                <w:rtl/>
              </w:rPr>
              <w:t xml:space="preserve"> </w:t>
            </w:r>
            <w:r w:rsidRPr="00D85204">
              <w:rPr>
                <w:rFonts w:hint="eastAsia"/>
                <w:rtl/>
              </w:rPr>
              <w:t>ביצוע</w:t>
            </w:r>
            <w:r w:rsidRPr="00D85204">
              <w:rPr>
                <w:rtl/>
              </w:rPr>
              <w:t xml:space="preserve"> </w:t>
            </w:r>
            <w:r w:rsidRPr="00D85204">
              <w:rPr>
                <w:rFonts w:hint="eastAsia"/>
                <w:rtl/>
              </w:rPr>
              <w:t>חוק</w:t>
            </w:r>
            <w:r w:rsidRPr="00D85204">
              <w:rPr>
                <w:rtl/>
              </w:rPr>
              <w:t xml:space="preserve"> </w:t>
            </w:r>
            <w:r w:rsidRPr="00D85204">
              <w:rPr>
                <w:rFonts w:hint="eastAsia"/>
                <w:rtl/>
              </w:rPr>
              <w:t>זה</w:t>
            </w:r>
            <w:r w:rsidRPr="00D85204">
              <w:rPr>
                <w:rtl/>
              </w:rPr>
              <w:t xml:space="preserve">, </w:t>
            </w:r>
            <w:r w:rsidRPr="00D85204">
              <w:rPr>
                <w:rFonts w:hint="eastAsia"/>
                <w:rtl/>
              </w:rPr>
              <w:t>והוא</w:t>
            </w:r>
            <w:r w:rsidRPr="00D85204">
              <w:rPr>
                <w:rtl/>
              </w:rPr>
              <w:t xml:space="preserve"> </w:t>
            </w:r>
            <w:r w:rsidRPr="00D85204">
              <w:rPr>
                <w:rFonts w:hint="eastAsia"/>
                <w:rtl/>
              </w:rPr>
              <w:t>רשאי</w:t>
            </w:r>
            <w:r w:rsidRPr="00D85204">
              <w:rPr>
                <w:rtl/>
              </w:rPr>
              <w:t xml:space="preserve"> </w:t>
            </w:r>
            <w:r w:rsidRPr="00D85204">
              <w:rPr>
                <w:rFonts w:hint="eastAsia"/>
                <w:rtl/>
              </w:rPr>
              <w:t>להתקין</w:t>
            </w:r>
            <w:r w:rsidRPr="00D85204">
              <w:rPr>
                <w:rtl/>
              </w:rPr>
              <w:t xml:space="preserve"> </w:t>
            </w:r>
            <w:r w:rsidRPr="00D85204">
              <w:rPr>
                <w:rFonts w:hint="eastAsia"/>
                <w:rtl/>
              </w:rPr>
              <w:t>תקנות</w:t>
            </w:r>
            <w:r w:rsidRPr="00D85204">
              <w:rPr>
                <w:rtl/>
              </w:rPr>
              <w:t xml:space="preserve"> </w:t>
            </w:r>
            <w:r w:rsidRPr="00D85204">
              <w:rPr>
                <w:rFonts w:hint="eastAsia"/>
                <w:rtl/>
              </w:rPr>
              <w:t>לביצועו</w:t>
            </w:r>
            <w:r w:rsidR="00296DD4" w:rsidRPr="00D85204">
              <w:rPr>
                <w:rtl/>
              </w:rPr>
              <w:t>.</w:t>
            </w:r>
            <w:r w:rsidRPr="00D85204">
              <w:rPr>
                <w:rtl/>
              </w:rPr>
              <w:t xml:space="preserve">  </w:t>
            </w:r>
          </w:p>
        </w:tc>
      </w:tr>
      <w:tr w:rsidR="00CE7922" w:rsidTr="00523483">
        <w:trPr>
          <w:cantSplit/>
        </w:trPr>
        <w:tc>
          <w:tcPr>
            <w:tcW w:w="1871" w:type="dxa"/>
          </w:tcPr>
          <w:p w:rsidR="00CE7922" w:rsidRDefault="00CE7922" w:rsidP="008D181D">
            <w:pPr>
              <w:pStyle w:val="TableSideHeading"/>
            </w:pPr>
            <w:r>
              <w:rPr>
                <w:rFonts w:hint="cs"/>
                <w:rtl/>
              </w:rPr>
              <w:t>תחילה</w:t>
            </w:r>
          </w:p>
        </w:tc>
        <w:tc>
          <w:tcPr>
            <w:tcW w:w="624" w:type="dxa"/>
          </w:tcPr>
          <w:p w:rsidR="00CE7922" w:rsidRDefault="00CE7922" w:rsidP="008D181D">
            <w:pPr>
              <w:pStyle w:val="TableText"/>
            </w:pPr>
            <w:r>
              <w:rPr>
                <w:rFonts w:hint="cs"/>
                <w:rtl/>
              </w:rPr>
              <w:t>5.</w:t>
            </w:r>
          </w:p>
        </w:tc>
        <w:tc>
          <w:tcPr>
            <w:tcW w:w="7143" w:type="dxa"/>
          </w:tcPr>
          <w:p w:rsidR="00CE7922" w:rsidRPr="00D85204" w:rsidRDefault="00CE7922" w:rsidP="00523483">
            <w:pPr>
              <w:pStyle w:val="TableBlock"/>
            </w:pPr>
            <w:r w:rsidRPr="00D85204">
              <w:rPr>
                <w:rFonts w:hint="eastAsia"/>
                <w:rtl/>
              </w:rPr>
              <w:t>תחילתו</w:t>
            </w:r>
            <w:r w:rsidRPr="00D85204">
              <w:rPr>
                <w:rtl/>
              </w:rPr>
              <w:t xml:space="preserve"> של חוק זה שישה חודשים מיום פרסומו. </w:t>
            </w:r>
          </w:p>
        </w:tc>
      </w:tr>
    </w:tbl>
    <w:p w:rsidR="00E13C27" w:rsidRPr="00CE7922" w:rsidRDefault="00E13C27" w:rsidP="0021633A">
      <w:pPr>
        <w:pStyle w:val="HeadDivreiHesber"/>
        <w:spacing w:before="0" w:after="0"/>
        <w:rPr>
          <w:rtl/>
        </w:rPr>
      </w:pPr>
    </w:p>
    <w:p w:rsidR="002D1EE3" w:rsidRDefault="002D1EE3" w:rsidP="002D1EE3">
      <w:pPr>
        <w:pStyle w:val="HeadDivreiHesber"/>
        <w:rPr>
          <w:rtl/>
        </w:rPr>
      </w:pPr>
      <w:r w:rsidRPr="0027450A">
        <w:rPr>
          <w:rFonts w:hint="cs"/>
          <w:rtl/>
        </w:rPr>
        <w:t>דברי הסבר</w:t>
      </w:r>
    </w:p>
    <w:p w:rsidR="0098242C" w:rsidRDefault="0098242C" w:rsidP="00503EE0">
      <w:pPr>
        <w:pStyle w:val="Hesber"/>
        <w:rPr>
          <w:rtl/>
        </w:rPr>
      </w:pPr>
      <w:r>
        <w:rPr>
          <w:rFonts w:hint="cs"/>
          <w:rtl/>
        </w:rPr>
        <w:t>מרבית המזנונ</w:t>
      </w:r>
      <w:r w:rsidR="00F820AC">
        <w:rPr>
          <w:rFonts w:hint="cs"/>
          <w:rtl/>
        </w:rPr>
        <w:t>ים בצה"ל, חלביים ובשרים</w:t>
      </w:r>
      <w:r w:rsidR="00301B43">
        <w:rPr>
          <w:rFonts w:hint="cs"/>
          <w:rtl/>
        </w:rPr>
        <w:t>,</w:t>
      </w:r>
      <w:r w:rsidR="00F820AC">
        <w:rPr>
          <w:rFonts w:hint="cs"/>
          <w:rtl/>
        </w:rPr>
        <w:t xml:space="preserve"> מופעלים</w:t>
      </w:r>
      <w:r w:rsidR="00503EE0">
        <w:rPr>
          <w:rFonts w:hint="cs"/>
          <w:rtl/>
        </w:rPr>
        <w:t xml:space="preserve"> על ידי </w:t>
      </w:r>
      <w:r>
        <w:rPr>
          <w:rFonts w:hint="cs"/>
          <w:rtl/>
        </w:rPr>
        <w:t>זכיינים חיצוניים</w:t>
      </w:r>
      <w:r w:rsidR="00301B43">
        <w:rPr>
          <w:rFonts w:hint="cs"/>
          <w:rtl/>
        </w:rPr>
        <w:t>,</w:t>
      </w:r>
      <w:r>
        <w:rPr>
          <w:rFonts w:hint="cs"/>
          <w:rtl/>
        </w:rPr>
        <w:t xml:space="preserve"> הניגשים מדי תקופה</w:t>
      </w:r>
      <w:r w:rsidR="009A737E">
        <w:rPr>
          <w:rFonts w:hint="cs"/>
          <w:rtl/>
        </w:rPr>
        <w:t xml:space="preserve"> למ</w:t>
      </w:r>
      <w:r w:rsidR="00503EE0">
        <w:rPr>
          <w:rFonts w:hint="cs"/>
          <w:rtl/>
        </w:rPr>
        <w:t>כ</w:t>
      </w:r>
      <w:r w:rsidR="009A737E">
        <w:rPr>
          <w:rFonts w:hint="cs"/>
          <w:rtl/>
        </w:rPr>
        <w:t>רז</w:t>
      </w:r>
      <w:r>
        <w:rPr>
          <w:rFonts w:hint="cs"/>
          <w:rtl/>
        </w:rPr>
        <w:t xml:space="preserve"> </w:t>
      </w:r>
      <w:r w:rsidR="009A737E">
        <w:rPr>
          <w:rFonts w:hint="cs"/>
          <w:rtl/>
        </w:rPr>
        <w:t>להפעלת מקום לממכר מוצרי מזון</w:t>
      </w:r>
      <w:r>
        <w:rPr>
          <w:rFonts w:hint="cs"/>
          <w:rtl/>
        </w:rPr>
        <w:t xml:space="preserve"> בשטח צבאי. </w:t>
      </w:r>
      <w:r w:rsidR="00213C8B">
        <w:rPr>
          <w:rFonts w:hint="cs"/>
          <w:rtl/>
        </w:rPr>
        <w:t xml:space="preserve">כיום </w:t>
      </w:r>
      <w:r>
        <w:rPr>
          <w:rFonts w:hint="cs"/>
          <w:rtl/>
        </w:rPr>
        <w:t>כללי המכרז אינם מחייבים זכ</w:t>
      </w:r>
      <w:r w:rsidR="00F830E6">
        <w:rPr>
          <w:rFonts w:hint="cs"/>
          <w:rtl/>
        </w:rPr>
        <w:t>י</w:t>
      </w:r>
      <w:r>
        <w:rPr>
          <w:rFonts w:hint="cs"/>
          <w:rtl/>
        </w:rPr>
        <w:t>ין</w:t>
      </w:r>
      <w:r w:rsidR="00F830E6">
        <w:rPr>
          <w:rFonts w:hint="cs"/>
          <w:rtl/>
        </w:rPr>
        <w:t xml:space="preserve"> ה</w:t>
      </w:r>
      <w:r w:rsidR="00C31467">
        <w:rPr>
          <w:rFonts w:hint="cs"/>
          <w:rtl/>
        </w:rPr>
        <w:t xml:space="preserve">מפעיל מזנון לספק סל של מוצרים או פיקוח </w:t>
      </w:r>
      <w:r>
        <w:rPr>
          <w:rFonts w:hint="cs"/>
          <w:rtl/>
        </w:rPr>
        <w:t>על מחיר המוצרים הנמכרים במקום</w:t>
      </w:r>
      <w:r w:rsidR="00581AF6">
        <w:rPr>
          <w:rFonts w:hint="cs"/>
          <w:rtl/>
        </w:rPr>
        <w:t>,</w:t>
      </w:r>
      <w:r>
        <w:rPr>
          <w:rFonts w:hint="cs"/>
          <w:rtl/>
        </w:rPr>
        <w:t xml:space="preserve"> כך ש</w:t>
      </w:r>
      <w:r w:rsidR="004C5E16">
        <w:rPr>
          <w:rFonts w:hint="cs"/>
          <w:rtl/>
        </w:rPr>
        <w:t>א</w:t>
      </w:r>
      <w:r w:rsidR="00213C8B">
        <w:rPr>
          <w:rFonts w:hint="cs"/>
          <w:rtl/>
        </w:rPr>
        <w:t xml:space="preserve">לו </w:t>
      </w:r>
      <w:r>
        <w:rPr>
          <w:rFonts w:hint="cs"/>
          <w:rtl/>
        </w:rPr>
        <w:t>יהיו נגישים לכלל חי</w:t>
      </w:r>
      <w:r w:rsidR="00F830E6">
        <w:rPr>
          <w:rFonts w:hint="cs"/>
          <w:rtl/>
        </w:rPr>
        <w:t>י</w:t>
      </w:r>
      <w:r>
        <w:rPr>
          <w:rFonts w:hint="cs"/>
          <w:rtl/>
        </w:rPr>
        <w:t xml:space="preserve">לות וחיילי צה"ל ללא קשר למצבם </w:t>
      </w:r>
      <w:r w:rsidR="00F830E6">
        <w:rPr>
          <w:rFonts w:hint="cs"/>
          <w:rtl/>
        </w:rPr>
        <w:t>הסוציו-</w:t>
      </w:r>
      <w:r>
        <w:rPr>
          <w:rFonts w:hint="cs"/>
          <w:rtl/>
        </w:rPr>
        <w:t xml:space="preserve">אקונומי. </w:t>
      </w:r>
    </w:p>
    <w:p w:rsidR="0098242C" w:rsidRDefault="0098242C" w:rsidP="00523483">
      <w:pPr>
        <w:pStyle w:val="Hesber"/>
        <w:rPr>
          <w:rtl/>
        </w:rPr>
      </w:pPr>
      <w:r w:rsidRPr="009A737E">
        <w:rPr>
          <w:rFonts w:hint="cs"/>
          <w:rtl/>
        </w:rPr>
        <w:t>הצעת</w:t>
      </w:r>
      <w:r>
        <w:rPr>
          <w:rFonts w:hint="cs"/>
          <w:rtl/>
        </w:rPr>
        <w:t xml:space="preserve"> החוק </w:t>
      </w:r>
      <w:r w:rsidR="00523483">
        <w:rPr>
          <w:rFonts w:hint="cs"/>
          <w:rtl/>
        </w:rPr>
        <w:t>נועדה</w:t>
      </w:r>
      <w:r>
        <w:rPr>
          <w:rFonts w:hint="cs"/>
          <w:rtl/>
        </w:rPr>
        <w:t xml:space="preserve"> לחייב זכיין מזנון חלבי או בשרי הפועל </w:t>
      </w:r>
      <w:r w:rsidR="00301B43">
        <w:rPr>
          <w:rFonts w:hint="cs"/>
          <w:rtl/>
        </w:rPr>
        <w:t>ב</w:t>
      </w:r>
      <w:r>
        <w:rPr>
          <w:rFonts w:hint="cs"/>
          <w:rtl/>
        </w:rPr>
        <w:t>בסיס צבאי</w:t>
      </w:r>
      <w:r w:rsidR="00581AF6">
        <w:rPr>
          <w:rFonts w:hint="cs"/>
          <w:rtl/>
        </w:rPr>
        <w:t>,</w:t>
      </w:r>
      <w:r>
        <w:rPr>
          <w:rFonts w:hint="cs"/>
          <w:rtl/>
        </w:rPr>
        <w:t xml:space="preserve"> לספק סל מוצרים בסיסי שי</w:t>
      </w:r>
      <w:r w:rsidR="00503EE0">
        <w:rPr>
          <w:rFonts w:hint="cs"/>
          <w:rtl/>
        </w:rPr>
        <w:t>י</w:t>
      </w:r>
      <w:r>
        <w:rPr>
          <w:rFonts w:hint="cs"/>
          <w:rtl/>
        </w:rPr>
        <w:t>מצא בכל מזנו</w:t>
      </w:r>
      <w:r w:rsidR="00823D14">
        <w:rPr>
          <w:rFonts w:hint="cs"/>
          <w:rtl/>
        </w:rPr>
        <w:t>ן</w:t>
      </w:r>
      <w:r w:rsidR="00892D4D">
        <w:rPr>
          <w:rFonts w:hint="cs"/>
          <w:rtl/>
        </w:rPr>
        <w:t>.</w:t>
      </w:r>
      <w:r>
        <w:rPr>
          <w:rFonts w:hint="cs"/>
          <w:rtl/>
        </w:rPr>
        <w:t xml:space="preserve"> </w:t>
      </w:r>
      <w:r w:rsidR="00892D4D">
        <w:rPr>
          <w:rFonts w:hint="cs"/>
          <w:rtl/>
        </w:rPr>
        <w:t xml:space="preserve">כמו כן, </w:t>
      </w:r>
      <w:r>
        <w:rPr>
          <w:rFonts w:hint="cs"/>
          <w:rtl/>
        </w:rPr>
        <w:t>י</w:t>
      </w:r>
      <w:r w:rsidR="00503EE0">
        <w:rPr>
          <w:rFonts w:hint="cs"/>
          <w:rtl/>
        </w:rPr>
        <w:t>י</w:t>
      </w:r>
      <w:r>
        <w:rPr>
          <w:rFonts w:hint="cs"/>
          <w:rtl/>
        </w:rPr>
        <w:t xml:space="preserve">קבע סכום </w:t>
      </w:r>
      <w:r w:rsidR="00892D4D">
        <w:rPr>
          <w:rFonts w:hint="cs"/>
          <w:rtl/>
        </w:rPr>
        <w:t>מרבי</w:t>
      </w:r>
      <w:r>
        <w:rPr>
          <w:rFonts w:hint="cs"/>
          <w:rtl/>
        </w:rPr>
        <w:t xml:space="preserve"> אותו ניתן יהיה לגבות בעבור כל אחד ממוצרי הסל. </w:t>
      </w:r>
      <w:r w:rsidR="00523483">
        <w:rPr>
          <w:rFonts w:hint="cs"/>
          <w:rtl/>
        </w:rPr>
        <w:t>מוצע להסמיך</w:t>
      </w:r>
      <w:r w:rsidR="00823D14">
        <w:rPr>
          <w:rFonts w:hint="cs"/>
          <w:rtl/>
        </w:rPr>
        <w:t xml:space="preserve"> </w:t>
      </w:r>
      <w:r>
        <w:rPr>
          <w:rFonts w:hint="cs"/>
          <w:rtl/>
        </w:rPr>
        <w:t>את שר הביטחון לקבוע את הרכב סל</w:t>
      </w:r>
      <w:r w:rsidR="00823D14">
        <w:rPr>
          <w:rFonts w:hint="cs"/>
          <w:rtl/>
        </w:rPr>
        <w:t xml:space="preserve"> המוצרים</w:t>
      </w:r>
      <w:r>
        <w:rPr>
          <w:rFonts w:hint="cs"/>
          <w:rtl/>
        </w:rPr>
        <w:t xml:space="preserve">, גודל הסל והמחיר המרבי שניתן יהיה לגבות עבור כל מוצר. </w:t>
      </w:r>
    </w:p>
    <w:p w:rsidR="0098242C" w:rsidRPr="009A737E" w:rsidRDefault="00523483" w:rsidP="00F820AC">
      <w:pPr>
        <w:pStyle w:val="Hesber"/>
        <w:rPr>
          <w:rtl/>
        </w:rPr>
      </w:pPr>
      <w:r>
        <w:rPr>
          <w:rFonts w:hint="cs"/>
          <w:rtl/>
        </w:rPr>
        <w:t>כמו כן,</w:t>
      </w:r>
      <w:r w:rsidR="0098242C">
        <w:rPr>
          <w:rFonts w:hint="cs"/>
          <w:rtl/>
        </w:rPr>
        <w:t xml:space="preserve"> </w:t>
      </w:r>
      <w:r w:rsidR="00823D14">
        <w:rPr>
          <w:rFonts w:hint="cs"/>
          <w:rtl/>
        </w:rPr>
        <w:t>מוצע</w:t>
      </w:r>
      <w:r w:rsidR="0098242C">
        <w:rPr>
          <w:rFonts w:hint="cs"/>
          <w:rtl/>
        </w:rPr>
        <w:t xml:space="preserve"> </w:t>
      </w:r>
      <w:r w:rsidR="00823D14">
        <w:rPr>
          <w:rFonts w:hint="cs"/>
          <w:rtl/>
        </w:rPr>
        <w:t>ל</w:t>
      </w:r>
      <w:r w:rsidR="0098242C">
        <w:rPr>
          <w:rFonts w:hint="cs"/>
          <w:rtl/>
        </w:rPr>
        <w:t>קב</w:t>
      </w:r>
      <w:r w:rsidR="00823D14">
        <w:rPr>
          <w:rFonts w:hint="cs"/>
          <w:rtl/>
        </w:rPr>
        <w:t>ו</w:t>
      </w:r>
      <w:r w:rsidR="0098242C">
        <w:rPr>
          <w:rFonts w:hint="cs"/>
          <w:rtl/>
        </w:rPr>
        <w:t xml:space="preserve">ע </w:t>
      </w:r>
      <w:r w:rsidR="00503EE0">
        <w:rPr>
          <w:rFonts w:hint="cs"/>
          <w:rtl/>
        </w:rPr>
        <w:t xml:space="preserve">כי </w:t>
      </w:r>
      <w:r w:rsidR="0098242C">
        <w:rPr>
          <w:rFonts w:hint="cs"/>
          <w:rtl/>
        </w:rPr>
        <w:t>משרד הביטחון או צבא ההגנה לישראל לא יתקשר</w:t>
      </w:r>
      <w:r w:rsidR="00823D14">
        <w:rPr>
          <w:rFonts w:hint="cs"/>
          <w:rtl/>
        </w:rPr>
        <w:t>ו</w:t>
      </w:r>
      <w:r w:rsidR="0098242C">
        <w:rPr>
          <w:rFonts w:hint="cs"/>
          <w:rtl/>
        </w:rPr>
        <w:t xml:space="preserve"> עם זכיין להפעלת מקום לממכר מוצרי מזון בבסיס </w:t>
      </w:r>
      <w:r w:rsidR="00B22191">
        <w:rPr>
          <w:rFonts w:hint="cs"/>
          <w:rtl/>
        </w:rPr>
        <w:t>צבאי</w:t>
      </w:r>
      <w:r w:rsidR="0098242C">
        <w:rPr>
          <w:rFonts w:hint="cs"/>
          <w:rtl/>
        </w:rPr>
        <w:t>, אלא אם כן התחייב הזכיין, במסגרת ההתקשרות</w:t>
      </w:r>
      <w:r w:rsidR="00823D14">
        <w:rPr>
          <w:rFonts w:hint="cs"/>
          <w:rtl/>
        </w:rPr>
        <w:t>,</w:t>
      </w:r>
      <w:r w:rsidR="0098242C">
        <w:rPr>
          <w:rFonts w:hint="cs"/>
          <w:rtl/>
        </w:rPr>
        <w:t xml:space="preserve"> כי במקום </w:t>
      </w:r>
      <w:r w:rsidR="0098242C" w:rsidRPr="009A737E">
        <w:rPr>
          <w:rFonts w:hint="cs"/>
          <w:rtl/>
        </w:rPr>
        <w:t>שיפעיל</w:t>
      </w:r>
      <w:r w:rsidR="00823D14">
        <w:rPr>
          <w:rFonts w:hint="cs"/>
          <w:rtl/>
        </w:rPr>
        <w:t xml:space="preserve"> י</w:t>
      </w:r>
      <w:r w:rsidR="00503EE0">
        <w:rPr>
          <w:rFonts w:hint="cs"/>
          <w:rtl/>
        </w:rPr>
        <w:t>י</w:t>
      </w:r>
      <w:r w:rsidR="00823D14">
        <w:rPr>
          <w:rFonts w:hint="cs"/>
          <w:rtl/>
        </w:rPr>
        <w:t>מכר</w:t>
      </w:r>
      <w:r w:rsidR="00892D4D">
        <w:rPr>
          <w:rFonts w:hint="cs"/>
          <w:rtl/>
        </w:rPr>
        <w:t>ו</w:t>
      </w:r>
      <w:r w:rsidR="0098242C">
        <w:rPr>
          <w:rFonts w:hint="cs"/>
          <w:rtl/>
        </w:rPr>
        <w:t xml:space="preserve"> מוצרי הבסיס שקבע השר לפי סעיף</w:t>
      </w:r>
      <w:r w:rsidR="00213C8B">
        <w:rPr>
          <w:rFonts w:hint="cs"/>
          <w:rtl/>
        </w:rPr>
        <w:t xml:space="preserve"> </w:t>
      </w:r>
      <w:r w:rsidR="0098242C">
        <w:rPr>
          <w:rFonts w:hint="cs"/>
          <w:rtl/>
        </w:rPr>
        <w:t>2 במחיר של</w:t>
      </w:r>
      <w:r w:rsidR="00503EE0">
        <w:rPr>
          <w:rFonts w:hint="cs"/>
          <w:rtl/>
        </w:rPr>
        <w:t>א</w:t>
      </w:r>
      <w:r w:rsidR="0098242C">
        <w:rPr>
          <w:rFonts w:hint="cs"/>
          <w:rtl/>
        </w:rPr>
        <w:t xml:space="preserve"> יעלה על המחיר שנקבע </w:t>
      </w:r>
      <w:r w:rsidR="00503EE0">
        <w:rPr>
          <w:rFonts w:hint="cs"/>
          <w:rtl/>
        </w:rPr>
        <w:t>לפי</w:t>
      </w:r>
      <w:r w:rsidR="00892D4D">
        <w:rPr>
          <w:rFonts w:hint="cs"/>
          <w:rtl/>
        </w:rPr>
        <w:t xml:space="preserve"> </w:t>
      </w:r>
      <w:r w:rsidR="00823D14">
        <w:rPr>
          <w:rFonts w:hint="cs"/>
          <w:rtl/>
        </w:rPr>
        <w:t xml:space="preserve">אותו </w:t>
      </w:r>
      <w:r w:rsidR="0098242C">
        <w:rPr>
          <w:rFonts w:hint="cs"/>
          <w:rtl/>
        </w:rPr>
        <w:t xml:space="preserve">סעיף. </w:t>
      </w:r>
    </w:p>
    <w:p w:rsidR="00E13C27" w:rsidRDefault="00E13C27" w:rsidP="00F820AC">
      <w:pPr>
        <w:pStyle w:val="Hesber"/>
        <w:rPr>
          <w:rtl/>
        </w:rPr>
      </w:pPr>
    </w:p>
    <w:p w:rsidR="00523483" w:rsidRDefault="00523483" w:rsidP="00F820AC">
      <w:pPr>
        <w:pStyle w:val="Hesber"/>
        <w:rPr>
          <w:rtl/>
        </w:rPr>
      </w:pPr>
    </w:p>
    <w:p w:rsidR="00523483" w:rsidRPr="00D73212" w:rsidRDefault="00523483" w:rsidP="00523483">
      <w:pPr>
        <w:pStyle w:val="Hesber"/>
        <w:rPr>
          <w:color w:val="auto"/>
          <w:rtl/>
          <w:lang w:eastAsia="en-US"/>
        </w:rPr>
      </w:pPr>
      <w:r w:rsidRPr="00D73212">
        <w:rPr>
          <w:color w:val="auto"/>
          <w:rtl/>
          <w:lang w:eastAsia="en-US"/>
        </w:rPr>
        <w:t>---------------------------------</w:t>
      </w:r>
    </w:p>
    <w:p w:rsidR="00523483" w:rsidRPr="00D73212" w:rsidRDefault="00523483" w:rsidP="00523483">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rsidR="00523483" w:rsidRPr="00D73212" w:rsidRDefault="00523483" w:rsidP="00523483">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rsidR="00523483" w:rsidRPr="00317312" w:rsidRDefault="00523483" w:rsidP="00523483">
      <w:pPr>
        <w:pStyle w:val="Hesber"/>
      </w:pPr>
      <w:r>
        <w:rPr>
          <w:rFonts w:hint="cs"/>
          <w:color w:val="auto"/>
          <w:rtl/>
          <w:lang w:eastAsia="en-US"/>
        </w:rPr>
        <w:t>י"ב באייר</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ז</w:t>
      </w:r>
      <w:proofErr w:type="spellEnd"/>
      <w:r w:rsidRPr="00D73212">
        <w:rPr>
          <w:color w:val="auto"/>
          <w:rtl/>
          <w:lang w:eastAsia="en-US"/>
        </w:rPr>
        <w:t xml:space="preserve"> – </w:t>
      </w:r>
      <w:r>
        <w:rPr>
          <w:rFonts w:hint="cs"/>
          <w:color w:val="auto"/>
          <w:rtl/>
          <w:lang w:eastAsia="en-US"/>
        </w:rPr>
        <w:t>8.5</w:t>
      </w:r>
      <w:r w:rsidRPr="00D73212">
        <w:rPr>
          <w:color w:val="auto"/>
          <w:rtl/>
          <w:lang w:eastAsia="en-US"/>
        </w:rPr>
        <w:t>.</w:t>
      </w:r>
      <w:r>
        <w:rPr>
          <w:rFonts w:hint="cs"/>
          <w:color w:val="auto"/>
          <w:rtl/>
          <w:lang w:eastAsia="en-US"/>
        </w:rPr>
        <w:t>17</w:t>
      </w:r>
    </w:p>
    <w:p w:rsidR="00523483" w:rsidRDefault="00523483" w:rsidP="00F820AC">
      <w:pPr>
        <w:pStyle w:val="Hesber"/>
        <w:rPr>
          <w:rtl/>
        </w:rPr>
      </w:pPr>
    </w:p>
    <w:sectPr w:rsidR="00523483"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2" w:rsidRDefault="00D42782">
      <w:r>
        <w:separator/>
      </w:r>
    </w:p>
  </w:endnote>
  <w:endnote w:type="continuationSeparator" w:id="0">
    <w:p w:rsidR="00D42782" w:rsidRDefault="00D42782">
      <w:r>
        <w:continuationSeparator/>
      </w:r>
    </w:p>
  </w:endnote>
  <w:endnote w:type="continuationNotice" w:id="1">
    <w:p w:rsidR="00D42782" w:rsidRDefault="00D4278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41" w:rsidRDefault="006E2E55" w:rsidP="001207F8">
    <w:pPr>
      <w:pStyle w:val="a8"/>
      <w:framePr w:wrap="around" w:vAnchor="text" w:hAnchor="text" w:xAlign="center" w:y="1"/>
      <w:rPr>
        <w:rStyle w:val="aa"/>
      </w:rPr>
    </w:pPr>
    <w:r>
      <w:rPr>
        <w:rStyle w:val="aa"/>
        <w:rtl/>
      </w:rPr>
      <w:fldChar w:fldCharType="begin"/>
    </w:r>
    <w:r w:rsidR="002C3041">
      <w:rPr>
        <w:rStyle w:val="aa"/>
      </w:rPr>
      <w:instrText xml:space="preserve">PAGE  </w:instrText>
    </w:r>
    <w:r>
      <w:rPr>
        <w:rStyle w:val="aa"/>
        <w:rtl/>
      </w:rPr>
      <w:fldChar w:fldCharType="end"/>
    </w:r>
  </w:p>
  <w:p w:rsidR="002C3041" w:rsidRDefault="002C30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041" w:rsidRDefault="006E2E55" w:rsidP="001207F8">
    <w:pPr>
      <w:pStyle w:val="a8"/>
      <w:framePr w:wrap="around" w:vAnchor="text" w:hAnchor="text" w:xAlign="center" w:y="1"/>
      <w:rPr>
        <w:rStyle w:val="aa"/>
      </w:rPr>
    </w:pPr>
    <w:r>
      <w:rPr>
        <w:rStyle w:val="aa"/>
        <w:rtl/>
      </w:rPr>
      <w:fldChar w:fldCharType="begin"/>
    </w:r>
    <w:r w:rsidR="002C3041">
      <w:rPr>
        <w:rStyle w:val="aa"/>
      </w:rPr>
      <w:instrText xml:space="preserve">PAGE  </w:instrText>
    </w:r>
    <w:r>
      <w:rPr>
        <w:rStyle w:val="aa"/>
        <w:rtl/>
      </w:rPr>
      <w:fldChar w:fldCharType="separate"/>
    </w:r>
    <w:r w:rsidR="000256B6">
      <w:rPr>
        <w:rStyle w:val="aa"/>
        <w:noProof/>
        <w:rtl/>
      </w:rPr>
      <w:t>2</w:t>
    </w:r>
    <w:r>
      <w:rPr>
        <w:rStyle w:val="aa"/>
        <w:rtl/>
      </w:rPr>
      <w:fldChar w:fldCharType="end"/>
    </w:r>
  </w:p>
  <w:p w:rsidR="002C3041" w:rsidRDefault="002C30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2" w:rsidRDefault="00D42782">
      <w:r>
        <w:separator/>
      </w:r>
    </w:p>
  </w:footnote>
  <w:footnote w:type="continuationSeparator" w:id="0">
    <w:p w:rsidR="00D42782" w:rsidRDefault="00D42782">
      <w:r>
        <w:continuationSeparator/>
      </w:r>
    </w:p>
  </w:footnote>
  <w:footnote w:type="continuationNotice" w:id="1">
    <w:p w:rsidR="00D42782" w:rsidRDefault="00D427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0382C"/>
    <w:multiLevelType w:val="hybridMultilevel"/>
    <w:tmpl w:val="3B8271D4"/>
    <w:lvl w:ilvl="0" w:tplc="D83E59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15089"/>
    <w:multiLevelType w:val="hybridMultilevel"/>
    <w:tmpl w:val="5AAE3956"/>
    <w:lvl w:ilvl="0" w:tplc="56021C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1577D"/>
    <w:multiLevelType w:val="hybridMultilevel"/>
    <w:tmpl w:val="5AD87B14"/>
    <w:lvl w:ilvl="0" w:tplc="2E6EBF9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55C5A"/>
    <w:multiLevelType w:val="hybridMultilevel"/>
    <w:tmpl w:val="B98A9970"/>
    <w:lvl w:ilvl="0" w:tplc="D10C50A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17"/>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256B6"/>
    <w:rsid w:val="00063A3E"/>
    <w:rsid w:val="00071405"/>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3C8B"/>
    <w:rsid w:val="0021633A"/>
    <w:rsid w:val="002200A1"/>
    <w:rsid w:val="002215F5"/>
    <w:rsid w:val="002362BF"/>
    <w:rsid w:val="00241B97"/>
    <w:rsid w:val="002425D1"/>
    <w:rsid w:val="00246756"/>
    <w:rsid w:val="00251E58"/>
    <w:rsid w:val="00254605"/>
    <w:rsid w:val="00266D86"/>
    <w:rsid w:val="002728B4"/>
    <w:rsid w:val="0027600C"/>
    <w:rsid w:val="00292712"/>
    <w:rsid w:val="00296DD4"/>
    <w:rsid w:val="002A487D"/>
    <w:rsid w:val="002C2E29"/>
    <w:rsid w:val="002C3041"/>
    <w:rsid w:val="002D1EE3"/>
    <w:rsid w:val="002E0081"/>
    <w:rsid w:val="002F1D80"/>
    <w:rsid w:val="00301B43"/>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C5E16"/>
    <w:rsid w:val="004D2D82"/>
    <w:rsid w:val="004D3876"/>
    <w:rsid w:val="004E4552"/>
    <w:rsid w:val="004E6CDF"/>
    <w:rsid w:val="00503EE0"/>
    <w:rsid w:val="00523483"/>
    <w:rsid w:val="00553C9D"/>
    <w:rsid w:val="00562A66"/>
    <w:rsid w:val="00581AF6"/>
    <w:rsid w:val="005B064E"/>
    <w:rsid w:val="005D51AE"/>
    <w:rsid w:val="0062674B"/>
    <w:rsid w:val="006363B2"/>
    <w:rsid w:val="00644940"/>
    <w:rsid w:val="006818A9"/>
    <w:rsid w:val="006A2D81"/>
    <w:rsid w:val="006C1D0D"/>
    <w:rsid w:val="006E2E55"/>
    <w:rsid w:val="0070601E"/>
    <w:rsid w:val="00712C72"/>
    <w:rsid w:val="00735FE9"/>
    <w:rsid w:val="00763CAA"/>
    <w:rsid w:val="00765F66"/>
    <w:rsid w:val="007740E1"/>
    <w:rsid w:val="0078664F"/>
    <w:rsid w:val="0079744B"/>
    <w:rsid w:val="007C3FA6"/>
    <w:rsid w:val="007D585A"/>
    <w:rsid w:val="007D5A12"/>
    <w:rsid w:val="007E59F9"/>
    <w:rsid w:val="00810BCD"/>
    <w:rsid w:val="00812C98"/>
    <w:rsid w:val="00814D92"/>
    <w:rsid w:val="00823D14"/>
    <w:rsid w:val="0083181D"/>
    <w:rsid w:val="00843EB2"/>
    <w:rsid w:val="00865572"/>
    <w:rsid w:val="00874BBC"/>
    <w:rsid w:val="00892135"/>
    <w:rsid w:val="00892D4D"/>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242C"/>
    <w:rsid w:val="00983A8D"/>
    <w:rsid w:val="009A0DB8"/>
    <w:rsid w:val="009A7257"/>
    <w:rsid w:val="009A737E"/>
    <w:rsid w:val="009D6E0A"/>
    <w:rsid w:val="009E1E33"/>
    <w:rsid w:val="009F4A1E"/>
    <w:rsid w:val="00A14672"/>
    <w:rsid w:val="00A26BD6"/>
    <w:rsid w:val="00A443CF"/>
    <w:rsid w:val="00A6611D"/>
    <w:rsid w:val="00A82CB7"/>
    <w:rsid w:val="00A942C1"/>
    <w:rsid w:val="00AA2F03"/>
    <w:rsid w:val="00AC36F7"/>
    <w:rsid w:val="00AC63A4"/>
    <w:rsid w:val="00AD239E"/>
    <w:rsid w:val="00B10265"/>
    <w:rsid w:val="00B16A99"/>
    <w:rsid w:val="00B21211"/>
    <w:rsid w:val="00B22191"/>
    <w:rsid w:val="00B35784"/>
    <w:rsid w:val="00B733A7"/>
    <w:rsid w:val="00B75C91"/>
    <w:rsid w:val="00B975AD"/>
    <w:rsid w:val="00BC45FB"/>
    <w:rsid w:val="00BD4C30"/>
    <w:rsid w:val="00BF148D"/>
    <w:rsid w:val="00C23B1A"/>
    <w:rsid w:val="00C26BA1"/>
    <w:rsid w:val="00C310EB"/>
    <w:rsid w:val="00C31467"/>
    <w:rsid w:val="00C9176A"/>
    <w:rsid w:val="00CE3723"/>
    <w:rsid w:val="00CE7922"/>
    <w:rsid w:val="00CF1AA2"/>
    <w:rsid w:val="00D17774"/>
    <w:rsid w:val="00D42782"/>
    <w:rsid w:val="00D63620"/>
    <w:rsid w:val="00D8410D"/>
    <w:rsid w:val="00D85204"/>
    <w:rsid w:val="00D867D7"/>
    <w:rsid w:val="00DA7305"/>
    <w:rsid w:val="00DB7060"/>
    <w:rsid w:val="00DE3153"/>
    <w:rsid w:val="00E06736"/>
    <w:rsid w:val="00E13C27"/>
    <w:rsid w:val="00E33BBD"/>
    <w:rsid w:val="00E374F2"/>
    <w:rsid w:val="00E45103"/>
    <w:rsid w:val="00E55A60"/>
    <w:rsid w:val="00E62778"/>
    <w:rsid w:val="00E63D38"/>
    <w:rsid w:val="00E665B9"/>
    <w:rsid w:val="00E76673"/>
    <w:rsid w:val="00EA01E6"/>
    <w:rsid w:val="00EA3DE8"/>
    <w:rsid w:val="00EA758F"/>
    <w:rsid w:val="00ED4A6F"/>
    <w:rsid w:val="00EF3A3A"/>
    <w:rsid w:val="00F628D6"/>
    <w:rsid w:val="00F67051"/>
    <w:rsid w:val="00F820AC"/>
    <w:rsid w:val="00F830E6"/>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5:docId w15:val="{8B72AE6F-D23A-4A8D-AA03-5CD8D2CB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23483"/>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523483"/>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523483"/>
    <w:rPr>
      <w:sz w:val="36"/>
      <w:szCs w:val="52"/>
    </w:rPr>
  </w:style>
  <w:style w:type="paragraph" w:customStyle="1" w:styleId="Cover3-Haknesset">
    <w:name w:val="Cover 3-Haknesset"/>
    <w:basedOn w:val="Cover1-Reshumot"/>
    <w:rsid w:val="00523483"/>
    <w:rPr>
      <w:b/>
      <w:bCs/>
      <w:spacing w:val="60"/>
    </w:rPr>
  </w:style>
  <w:style w:type="paragraph" w:customStyle="1" w:styleId="Cover4-Date">
    <w:name w:val="Cover 4-Date"/>
    <w:basedOn w:val="a"/>
    <w:rsid w:val="00523483"/>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523483"/>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523483"/>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523483"/>
    <w:pPr>
      <w:spacing w:before="120" w:after="120"/>
    </w:pPr>
    <w:rPr>
      <w:color w:val="FF0000"/>
      <w:w w:val="80"/>
    </w:rPr>
  </w:style>
  <w:style w:type="paragraph" w:styleId="a3">
    <w:name w:val="endnote text"/>
    <w:basedOn w:val="a"/>
    <w:semiHidden/>
    <w:rsid w:val="00523483"/>
    <w:pPr>
      <w:ind w:left="227" w:hanging="227"/>
    </w:pPr>
    <w:rPr>
      <w:sz w:val="14"/>
      <w:szCs w:val="22"/>
    </w:rPr>
  </w:style>
  <w:style w:type="paragraph" w:customStyle="1" w:styleId="TableText">
    <w:name w:val="Table Text"/>
    <w:basedOn w:val="a"/>
    <w:rsid w:val="00523483"/>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523483"/>
  </w:style>
  <w:style w:type="paragraph" w:customStyle="1" w:styleId="TableBlock">
    <w:name w:val="Table Block"/>
    <w:basedOn w:val="TableText"/>
    <w:rsid w:val="00523483"/>
    <w:pPr>
      <w:ind w:right="0"/>
      <w:jc w:val="both"/>
    </w:pPr>
  </w:style>
  <w:style w:type="paragraph" w:customStyle="1" w:styleId="TableHead">
    <w:name w:val="Table Head"/>
    <w:basedOn w:val="TableText"/>
    <w:rsid w:val="00523483"/>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523483"/>
  </w:style>
  <w:style w:type="paragraph" w:customStyle="1" w:styleId="Hesber">
    <w:name w:val="Hesber"/>
    <w:basedOn w:val="a"/>
    <w:rsid w:val="00523483"/>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523483"/>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523483"/>
    <w:rPr>
      <w:vertAlign w:val="superscript"/>
    </w:rPr>
  </w:style>
  <w:style w:type="paragraph" w:customStyle="1" w:styleId="HesberHeading">
    <w:name w:val="Hesber Heading"/>
    <w:basedOn w:val="Hesber"/>
    <w:rsid w:val="00523483"/>
    <w:pPr>
      <w:tabs>
        <w:tab w:val="left" w:pos="624"/>
        <w:tab w:val="left" w:pos="1247"/>
      </w:tabs>
      <w:ind w:firstLine="0"/>
    </w:pPr>
    <w:rPr>
      <w:b/>
      <w:bCs/>
    </w:rPr>
  </w:style>
  <w:style w:type="paragraph" w:customStyle="1" w:styleId="HesberWriters">
    <w:name w:val="Hesber Writers"/>
    <w:basedOn w:val="Hesber"/>
    <w:rsid w:val="00523483"/>
    <w:pPr>
      <w:spacing w:before="120" w:after="6000"/>
      <w:ind w:left="1418" w:firstLine="0"/>
      <w:jc w:val="right"/>
    </w:pPr>
    <w:rPr>
      <w:b/>
      <w:bCs/>
    </w:rPr>
  </w:style>
  <w:style w:type="paragraph" w:customStyle="1" w:styleId="Hesber1st">
    <w:name w:val="Hesber 1st"/>
    <w:basedOn w:val="Hesber"/>
    <w:rsid w:val="00523483"/>
    <w:pPr>
      <w:tabs>
        <w:tab w:val="left" w:pos="680"/>
        <w:tab w:val="left" w:pos="1020"/>
      </w:tabs>
      <w:ind w:firstLine="0"/>
    </w:pPr>
  </w:style>
  <w:style w:type="character" w:styleId="a6">
    <w:name w:val="endnote reference"/>
    <w:basedOn w:val="a0"/>
    <w:semiHidden/>
    <w:rsid w:val="00523483"/>
    <w:rPr>
      <w:vertAlign w:val="superscript"/>
    </w:rPr>
  </w:style>
  <w:style w:type="paragraph" w:customStyle="1" w:styleId="TableBlockOutdent">
    <w:name w:val="Table BlockOutdent"/>
    <w:basedOn w:val="TableBlock"/>
    <w:rsid w:val="00523483"/>
    <w:pPr>
      <w:ind w:left="624" w:hanging="624"/>
    </w:pPr>
  </w:style>
  <w:style w:type="paragraph" w:styleId="a7">
    <w:name w:val="header"/>
    <w:basedOn w:val="a"/>
    <w:rsid w:val="00523483"/>
    <w:pPr>
      <w:tabs>
        <w:tab w:val="center" w:pos="4153"/>
        <w:tab w:val="right" w:pos="8306"/>
      </w:tabs>
    </w:pPr>
  </w:style>
  <w:style w:type="paragraph" w:styleId="a8">
    <w:name w:val="footer"/>
    <w:basedOn w:val="a"/>
    <w:rsid w:val="00523483"/>
    <w:pPr>
      <w:tabs>
        <w:tab w:val="center" w:pos="4153"/>
        <w:tab w:val="right" w:pos="8306"/>
      </w:tabs>
    </w:pPr>
  </w:style>
  <w:style w:type="paragraph" w:customStyle="1" w:styleId="HeadDivreiHesber">
    <w:name w:val="Head DivreiHesber"/>
    <w:basedOn w:val="a"/>
    <w:rsid w:val="00523483"/>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523483"/>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523483"/>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4210">
      <w:bodyDiv w:val="1"/>
      <w:marLeft w:val="0"/>
      <w:marRight w:val="0"/>
      <w:marTop w:val="0"/>
      <w:marBottom w:val="0"/>
      <w:divBdr>
        <w:top w:val="none" w:sz="0" w:space="0" w:color="auto"/>
        <w:left w:val="none" w:sz="0" w:space="0" w:color="auto"/>
        <w:bottom w:val="none" w:sz="0" w:space="0" w:color="auto"/>
        <w:right w:val="none" w:sz="0" w:space="0" w:color="auto"/>
      </w:divBdr>
    </w:div>
    <w:div w:id="1132602488">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C10C-EC4C-477A-AFFB-63E2438C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96828624-A975-4AD4-BBDA-E1D058B2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1766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Maya</cp:lastModifiedBy>
  <cp:revision>2</cp:revision>
  <cp:lastPrinted>2017-04-30T07:10:00Z</cp:lastPrinted>
  <dcterms:created xsi:type="dcterms:W3CDTF">2017-05-23T06:58:00Z</dcterms:created>
  <dcterms:modified xsi:type="dcterms:W3CDTF">2017-05-23T06:58:00Z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2015698</vt:r8>
  </property>
</Properties>
</file>