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768C" w14:textId="77777777" w:rsidR="00D77E34" w:rsidRDefault="00D77E34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606781C6" wp14:editId="7DEA70C7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9D7F" w14:textId="77777777" w:rsidR="00D77E34" w:rsidRDefault="00D77E34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729CD34C" w14:textId="77777777" w:rsidR="00D77E34" w:rsidRDefault="00D77E34" w:rsidP="00D77E34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65745073" w:history="1">
        <w:r w:rsidRPr="00DE4979">
          <w:rPr>
            <w:rStyle w:val="Hyperlink"/>
            <w:noProof/>
            <w:rtl/>
          </w:rPr>
          <w:t>טיוטת כללים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Toc65745073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0562F35D" w14:textId="77777777" w:rsidR="00D77E34" w:rsidRDefault="00E3455E" w:rsidP="00D77E34">
      <w:pPr>
        <w:pStyle w:val="TOC4"/>
        <w:rPr>
          <w:rFonts w:cstheme="minorBidi"/>
          <w:rtl/>
        </w:rPr>
      </w:pPr>
      <w:hyperlink w:anchor="_Toc65745074" w:history="1">
        <w:r w:rsidR="00D77E34" w:rsidRPr="00DE4979">
          <w:rPr>
            <w:rStyle w:val="Hyperlink"/>
            <w:rtl/>
          </w:rPr>
          <w:t>א. שם הכללים המוצעים</w:t>
        </w:r>
        <w:r w:rsidR="00D77E34">
          <w:rPr>
            <w:webHidden/>
            <w:rtl/>
          </w:rPr>
          <w:tab/>
        </w:r>
        <w:r w:rsidR="00D77E34">
          <w:rPr>
            <w:webHidden/>
            <w:rtl/>
          </w:rPr>
          <w:fldChar w:fldCharType="begin"/>
        </w:r>
        <w:r w:rsidR="00D77E34">
          <w:rPr>
            <w:webHidden/>
            <w:rtl/>
          </w:rPr>
          <w:instrText xml:space="preserve"> </w:instrText>
        </w:r>
        <w:r w:rsidR="00D77E34">
          <w:rPr>
            <w:webHidden/>
          </w:rPr>
          <w:instrText>PAGEREF</w:instrText>
        </w:r>
        <w:r w:rsidR="00D77E34">
          <w:rPr>
            <w:webHidden/>
            <w:rtl/>
          </w:rPr>
          <w:instrText xml:space="preserve"> _</w:instrText>
        </w:r>
        <w:r w:rsidR="00D77E34">
          <w:rPr>
            <w:webHidden/>
          </w:rPr>
          <w:instrText>Toc65745074 \h</w:instrText>
        </w:r>
        <w:r w:rsidR="00D77E34">
          <w:rPr>
            <w:webHidden/>
            <w:rtl/>
          </w:rPr>
          <w:instrText xml:space="preserve"> </w:instrText>
        </w:r>
        <w:r w:rsidR="00D77E34">
          <w:rPr>
            <w:webHidden/>
            <w:rtl/>
          </w:rPr>
        </w:r>
        <w:r w:rsidR="00D77E34">
          <w:rPr>
            <w:webHidden/>
            <w:rtl/>
          </w:rPr>
          <w:fldChar w:fldCharType="separate"/>
        </w:r>
        <w:r w:rsidR="00D77E34">
          <w:rPr>
            <w:webHidden/>
            <w:rtl/>
          </w:rPr>
          <w:t>2</w:t>
        </w:r>
        <w:r w:rsidR="00D77E34">
          <w:rPr>
            <w:webHidden/>
            <w:rtl/>
          </w:rPr>
          <w:fldChar w:fldCharType="end"/>
        </w:r>
      </w:hyperlink>
    </w:p>
    <w:p w14:paraId="401EE7DD" w14:textId="77777777" w:rsidR="00D77E34" w:rsidRDefault="00E3455E" w:rsidP="00D77E34">
      <w:pPr>
        <w:pStyle w:val="TOC4"/>
        <w:rPr>
          <w:rFonts w:cstheme="minorBidi"/>
          <w:rtl/>
        </w:rPr>
      </w:pPr>
      <w:hyperlink w:anchor="_Toc65745075" w:history="1">
        <w:r w:rsidR="00D77E34" w:rsidRPr="00DE4979">
          <w:rPr>
            <w:rStyle w:val="Hyperlink"/>
            <w:rtl/>
          </w:rPr>
          <w:t>ב. מטרת הכללים המוצעים והצורך בהם</w:t>
        </w:r>
        <w:r w:rsidR="00D77E34">
          <w:rPr>
            <w:webHidden/>
            <w:rtl/>
          </w:rPr>
          <w:tab/>
        </w:r>
        <w:r w:rsidR="00D77E34">
          <w:rPr>
            <w:webHidden/>
            <w:rtl/>
          </w:rPr>
          <w:fldChar w:fldCharType="begin"/>
        </w:r>
        <w:r w:rsidR="00D77E34">
          <w:rPr>
            <w:webHidden/>
            <w:rtl/>
          </w:rPr>
          <w:instrText xml:space="preserve"> </w:instrText>
        </w:r>
        <w:r w:rsidR="00D77E34">
          <w:rPr>
            <w:webHidden/>
          </w:rPr>
          <w:instrText>PAGEREF</w:instrText>
        </w:r>
        <w:r w:rsidR="00D77E34">
          <w:rPr>
            <w:webHidden/>
            <w:rtl/>
          </w:rPr>
          <w:instrText xml:space="preserve"> _</w:instrText>
        </w:r>
        <w:r w:rsidR="00D77E34">
          <w:rPr>
            <w:webHidden/>
          </w:rPr>
          <w:instrText>Toc65745075 \h</w:instrText>
        </w:r>
        <w:r w:rsidR="00D77E34">
          <w:rPr>
            <w:webHidden/>
            <w:rtl/>
          </w:rPr>
          <w:instrText xml:space="preserve"> </w:instrText>
        </w:r>
        <w:r w:rsidR="00D77E34">
          <w:rPr>
            <w:webHidden/>
            <w:rtl/>
          </w:rPr>
        </w:r>
        <w:r w:rsidR="00D77E34">
          <w:rPr>
            <w:webHidden/>
            <w:rtl/>
          </w:rPr>
          <w:fldChar w:fldCharType="separate"/>
        </w:r>
        <w:r w:rsidR="00D77E34">
          <w:rPr>
            <w:webHidden/>
            <w:rtl/>
          </w:rPr>
          <w:t>2</w:t>
        </w:r>
        <w:r w:rsidR="00D77E34">
          <w:rPr>
            <w:webHidden/>
            <w:rtl/>
          </w:rPr>
          <w:fldChar w:fldCharType="end"/>
        </w:r>
      </w:hyperlink>
    </w:p>
    <w:p w14:paraId="7CB1E226" w14:textId="77777777" w:rsidR="00D77E34" w:rsidRDefault="00E3455E" w:rsidP="00D77E34">
      <w:pPr>
        <w:pStyle w:val="TOC4"/>
        <w:rPr>
          <w:rFonts w:cstheme="minorBidi"/>
          <w:rtl/>
        </w:rPr>
      </w:pPr>
      <w:hyperlink w:anchor="_Toc65745076" w:history="1">
        <w:r w:rsidR="00D77E34" w:rsidRPr="00DE4979">
          <w:rPr>
            <w:rStyle w:val="Hyperlink"/>
            <w:rtl/>
          </w:rPr>
          <w:t>ג. להלן נוסח טיוטת הכללים המוצעים:</w:t>
        </w:r>
        <w:r w:rsidR="00D77E34">
          <w:rPr>
            <w:webHidden/>
            <w:rtl/>
          </w:rPr>
          <w:tab/>
        </w:r>
        <w:r w:rsidR="00D77E34">
          <w:rPr>
            <w:webHidden/>
            <w:rtl/>
          </w:rPr>
          <w:fldChar w:fldCharType="begin"/>
        </w:r>
        <w:r w:rsidR="00D77E34">
          <w:rPr>
            <w:webHidden/>
            <w:rtl/>
          </w:rPr>
          <w:instrText xml:space="preserve"> </w:instrText>
        </w:r>
        <w:r w:rsidR="00D77E34">
          <w:rPr>
            <w:webHidden/>
          </w:rPr>
          <w:instrText>PAGEREF</w:instrText>
        </w:r>
        <w:r w:rsidR="00D77E34">
          <w:rPr>
            <w:webHidden/>
            <w:rtl/>
          </w:rPr>
          <w:instrText xml:space="preserve"> _</w:instrText>
        </w:r>
        <w:r w:rsidR="00D77E34">
          <w:rPr>
            <w:webHidden/>
          </w:rPr>
          <w:instrText>Toc65745076 \h</w:instrText>
        </w:r>
        <w:r w:rsidR="00D77E34">
          <w:rPr>
            <w:webHidden/>
            <w:rtl/>
          </w:rPr>
          <w:instrText xml:space="preserve"> </w:instrText>
        </w:r>
        <w:r w:rsidR="00D77E34">
          <w:rPr>
            <w:webHidden/>
            <w:rtl/>
          </w:rPr>
        </w:r>
        <w:r w:rsidR="00D77E34">
          <w:rPr>
            <w:webHidden/>
            <w:rtl/>
          </w:rPr>
          <w:fldChar w:fldCharType="separate"/>
        </w:r>
        <w:r w:rsidR="00D77E34">
          <w:rPr>
            <w:webHidden/>
            <w:rtl/>
          </w:rPr>
          <w:t>2</w:t>
        </w:r>
        <w:r w:rsidR="00D77E34">
          <w:rPr>
            <w:webHidden/>
            <w:rtl/>
          </w:rPr>
          <w:fldChar w:fldCharType="end"/>
        </w:r>
      </w:hyperlink>
    </w:p>
    <w:p w14:paraId="4F3DB5FA" w14:textId="77777777" w:rsidR="00D77E34" w:rsidRDefault="00E3455E" w:rsidP="00D77E34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65745077" w:history="1">
        <w:r w:rsidR="00D77E34" w:rsidRPr="00DE4979">
          <w:rPr>
            <w:rStyle w:val="Hyperlink"/>
            <w:noProof/>
            <w:rtl/>
          </w:rPr>
          <w:t>טיוטת כללי קידום התחרות בענף המזון (פטור לפעולות ולהסדרים שעניינם מחיר לצרכן) (הוראת שעה), התשפ"א-2021</w:t>
        </w:r>
        <w:r w:rsidR="00D77E34">
          <w:rPr>
            <w:noProof/>
            <w:webHidden/>
            <w:rtl/>
          </w:rPr>
          <w:tab/>
        </w:r>
        <w:r w:rsidR="00D77E34">
          <w:rPr>
            <w:noProof/>
            <w:webHidden/>
            <w:rtl/>
          </w:rPr>
          <w:fldChar w:fldCharType="begin"/>
        </w:r>
        <w:r w:rsidR="00D77E34">
          <w:rPr>
            <w:noProof/>
            <w:webHidden/>
            <w:rtl/>
          </w:rPr>
          <w:instrText xml:space="preserve"> </w:instrText>
        </w:r>
        <w:r w:rsidR="00D77E34">
          <w:rPr>
            <w:noProof/>
            <w:webHidden/>
          </w:rPr>
          <w:instrText>PAGEREF</w:instrText>
        </w:r>
        <w:r w:rsidR="00D77E34">
          <w:rPr>
            <w:noProof/>
            <w:webHidden/>
            <w:rtl/>
          </w:rPr>
          <w:instrText xml:space="preserve"> _</w:instrText>
        </w:r>
        <w:r w:rsidR="00D77E34">
          <w:rPr>
            <w:noProof/>
            <w:webHidden/>
          </w:rPr>
          <w:instrText>Toc65745077 \h</w:instrText>
        </w:r>
        <w:r w:rsidR="00D77E34">
          <w:rPr>
            <w:noProof/>
            <w:webHidden/>
            <w:rtl/>
          </w:rPr>
          <w:instrText xml:space="preserve"> </w:instrText>
        </w:r>
        <w:r w:rsidR="00D77E34">
          <w:rPr>
            <w:noProof/>
            <w:webHidden/>
            <w:rtl/>
          </w:rPr>
        </w:r>
        <w:r w:rsidR="00D77E34">
          <w:rPr>
            <w:noProof/>
            <w:webHidden/>
            <w:rtl/>
          </w:rPr>
          <w:fldChar w:fldCharType="separate"/>
        </w:r>
        <w:r w:rsidR="00D77E34">
          <w:rPr>
            <w:noProof/>
            <w:webHidden/>
            <w:rtl/>
          </w:rPr>
          <w:t>3</w:t>
        </w:r>
        <w:r w:rsidR="00D77E34">
          <w:rPr>
            <w:noProof/>
            <w:webHidden/>
            <w:rtl/>
          </w:rPr>
          <w:fldChar w:fldCharType="end"/>
        </w:r>
      </w:hyperlink>
    </w:p>
    <w:p w14:paraId="0D7B2080" w14:textId="77777777" w:rsidR="00D77E34" w:rsidRDefault="00E3455E" w:rsidP="00D77E34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65745078" w:history="1">
        <w:r w:rsidR="00D77E34" w:rsidRPr="00DE4979">
          <w:rPr>
            <w:rStyle w:val="Hyperlink"/>
            <w:noProof/>
            <w:rtl/>
          </w:rPr>
          <w:t>תיקון סעיף 7</w:t>
        </w:r>
        <w:r w:rsidR="00D77E34">
          <w:rPr>
            <w:noProof/>
            <w:webHidden/>
            <w:rtl/>
          </w:rPr>
          <w:tab/>
        </w:r>
        <w:r w:rsidR="00D77E34">
          <w:rPr>
            <w:noProof/>
            <w:webHidden/>
            <w:rtl/>
          </w:rPr>
          <w:fldChar w:fldCharType="begin"/>
        </w:r>
        <w:r w:rsidR="00D77E34">
          <w:rPr>
            <w:noProof/>
            <w:webHidden/>
            <w:rtl/>
          </w:rPr>
          <w:instrText xml:space="preserve"> </w:instrText>
        </w:r>
        <w:r w:rsidR="00D77E34">
          <w:rPr>
            <w:noProof/>
            <w:webHidden/>
          </w:rPr>
          <w:instrText>PAGEREF</w:instrText>
        </w:r>
        <w:r w:rsidR="00D77E34">
          <w:rPr>
            <w:noProof/>
            <w:webHidden/>
            <w:rtl/>
          </w:rPr>
          <w:instrText xml:space="preserve"> _</w:instrText>
        </w:r>
        <w:r w:rsidR="00D77E34">
          <w:rPr>
            <w:noProof/>
            <w:webHidden/>
          </w:rPr>
          <w:instrText>Toc65745078 \h</w:instrText>
        </w:r>
        <w:r w:rsidR="00D77E34">
          <w:rPr>
            <w:noProof/>
            <w:webHidden/>
            <w:rtl/>
          </w:rPr>
          <w:instrText xml:space="preserve"> </w:instrText>
        </w:r>
        <w:r w:rsidR="00D77E34">
          <w:rPr>
            <w:noProof/>
            <w:webHidden/>
            <w:rtl/>
          </w:rPr>
        </w:r>
        <w:r w:rsidR="00D77E34">
          <w:rPr>
            <w:noProof/>
            <w:webHidden/>
            <w:rtl/>
          </w:rPr>
          <w:fldChar w:fldCharType="separate"/>
        </w:r>
        <w:r w:rsidR="00D77E34">
          <w:rPr>
            <w:noProof/>
            <w:webHidden/>
            <w:rtl/>
          </w:rPr>
          <w:t>3</w:t>
        </w:r>
        <w:r w:rsidR="00D77E34">
          <w:rPr>
            <w:noProof/>
            <w:webHidden/>
            <w:rtl/>
          </w:rPr>
          <w:fldChar w:fldCharType="end"/>
        </w:r>
      </w:hyperlink>
    </w:p>
    <w:p w14:paraId="479A7876" w14:textId="77777777" w:rsidR="00D77E34" w:rsidRDefault="00E3455E" w:rsidP="00D77E34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65745079" w:history="1">
        <w:r w:rsidR="00D77E34" w:rsidRPr="00DE4979">
          <w:rPr>
            <w:rStyle w:val="Hyperlink"/>
            <w:noProof/>
            <w:rtl/>
          </w:rPr>
          <w:t>דברי הסבר</w:t>
        </w:r>
        <w:r w:rsidR="00D77E34">
          <w:rPr>
            <w:noProof/>
            <w:webHidden/>
            <w:rtl/>
          </w:rPr>
          <w:tab/>
        </w:r>
        <w:r w:rsidR="00D77E34">
          <w:rPr>
            <w:noProof/>
            <w:webHidden/>
            <w:rtl/>
          </w:rPr>
          <w:fldChar w:fldCharType="begin"/>
        </w:r>
        <w:r w:rsidR="00D77E34">
          <w:rPr>
            <w:noProof/>
            <w:webHidden/>
            <w:rtl/>
          </w:rPr>
          <w:instrText xml:space="preserve"> </w:instrText>
        </w:r>
        <w:r w:rsidR="00D77E34">
          <w:rPr>
            <w:noProof/>
            <w:webHidden/>
          </w:rPr>
          <w:instrText>PAGEREF</w:instrText>
        </w:r>
        <w:r w:rsidR="00D77E34">
          <w:rPr>
            <w:noProof/>
            <w:webHidden/>
            <w:rtl/>
          </w:rPr>
          <w:instrText xml:space="preserve"> _</w:instrText>
        </w:r>
        <w:r w:rsidR="00D77E34">
          <w:rPr>
            <w:noProof/>
            <w:webHidden/>
          </w:rPr>
          <w:instrText>Toc65745079 \h</w:instrText>
        </w:r>
        <w:r w:rsidR="00D77E34">
          <w:rPr>
            <w:noProof/>
            <w:webHidden/>
            <w:rtl/>
          </w:rPr>
          <w:instrText xml:space="preserve"> </w:instrText>
        </w:r>
        <w:r w:rsidR="00D77E34">
          <w:rPr>
            <w:noProof/>
            <w:webHidden/>
            <w:rtl/>
          </w:rPr>
        </w:r>
        <w:r w:rsidR="00D77E34">
          <w:rPr>
            <w:noProof/>
            <w:webHidden/>
            <w:rtl/>
          </w:rPr>
          <w:fldChar w:fldCharType="separate"/>
        </w:r>
        <w:r w:rsidR="00D77E34">
          <w:rPr>
            <w:noProof/>
            <w:webHidden/>
            <w:rtl/>
          </w:rPr>
          <w:t>3</w:t>
        </w:r>
        <w:r w:rsidR="00D77E34">
          <w:rPr>
            <w:noProof/>
            <w:webHidden/>
            <w:rtl/>
          </w:rPr>
          <w:fldChar w:fldCharType="end"/>
        </w:r>
      </w:hyperlink>
    </w:p>
    <w:p w14:paraId="0C0C15EC" w14:textId="77777777" w:rsidR="00D77E34" w:rsidRDefault="00D77E34" w:rsidP="00D77E34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14:paraId="46B1A40C" w14:textId="77777777" w:rsidR="00CE6678" w:rsidRDefault="00CE6678" w:rsidP="00307E94">
      <w:pPr>
        <w:pStyle w:val="Heading1"/>
        <w:keepNext w:val="0"/>
        <w:keepLines w:val="0"/>
      </w:pPr>
      <w:bookmarkStart w:id="0" w:name="_Toc65745073"/>
      <w:r>
        <w:rPr>
          <w:rtl/>
        </w:rPr>
        <w:lastRenderedPageBreak/>
        <w:t>טיוטת כללים</w:t>
      </w:r>
      <w:bookmarkEnd w:id="0"/>
    </w:p>
    <w:p w14:paraId="27EF4BBC" w14:textId="77777777" w:rsidR="00CE6678" w:rsidRDefault="00CE6678" w:rsidP="00307E94">
      <w:pPr>
        <w:rPr>
          <w:rtl/>
        </w:rPr>
      </w:pPr>
    </w:p>
    <w:p w14:paraId="223929F0" w14:textId="77777777" w:rsidR="00CE6678" w:rsidRDefault="00CE6678" w:rsidP="00F24A78">
      <w:pPr>
        <w:pStyle w:val="Heading4"/>
        <w:rPr>
          <w:rtl/>
        </w:rPr>
      </w:pPr>
      <w:bookmarkStart w:id="1" w:name="_Toc65745074"/>
      <w:r>
        <w:rPr>
          <w:rFonts w:hint="cs"/>
          <w:rtl/>
        </w:rPr>
        <w:t>שם הכללים המוצעים</w:t>
      </w:r>
      <w:bookmarkEnd w:id="1"/>
    </w:p>
    <w:p w14:paraId="060AB056" w14:textId="77777777" w:rsidR="00CE6678" w:rsidRDefault="00CE6678" w:rsidP="00E6769E">
      <w:r>
        <w:rPr>
          <w:rFonts w:hint="cs"/>
          <w:rtl/>
        </w:rPr>
        <w:t xml:space="preserve">כללי קידום התחרות בענף המזון (פטור לפעולות ולהסדרים </w:t>
      </w:r>
      <w:r w:rsidR="00E6769E">
        <w:rPr>
          <w:rFonts w:hint="cs"/>
          <w:rtl/>
        </w:rPr>
        <w:t>שעניינם מחיר לצרכן) (הוראת שעה)</w:t>
      </w:r>
      <w:r>
        <w:rPr>
          <w:rFonts w:hint="cs"/>
          <w:rtl/>
        </w:rPr>
        <w:t>, התשפ"א-2021</w:t>
      </w:r>
      <w:r w:rsidR="006E667C">
        <w:rPr>
          <w:rFonts w:hint="cs"/>
          <w:rtl/>
        </w:rPr>
        <w:t>.</w:t>
      </w:r>
    </w:p>
    <w:p w14:paraId="631B860B" w14:textId="77777777" w:rsidR="00CE6678" w:rsidRPr="006E667C" w:rsidRDefault="00CE6678" w:rsidP="00307E94">
      <w:pPr>
        <w:rPr>
          <w:rtl/>
        </w:rPr>
      </w:pPr>
    </w:p>
    <w:p w14:paraId="31F233AE" w14:textId="77777777" w:rsidR="00CE6678" w:rsidRDefault="00CE6678" w:rsidP="00307E94">
      <w:pPr>
        <w:rPr>
          <w:rtl/>
        </w:rPr>
      </w:pPr>
    </w:p>
    <w:p w14:paraId="33B57254" w14:textId="77777777" w:rsidR="00CE6678" w:rsidRDefault="00CE6678" w:rsidP="001A4781">
      <w:pPr>
        <w:pStyle w:val="Heading4"/>
        <w:rPr>
          <w:rtl/>
        </w:rPr>
      </w:pPr>
      <w:bookmarkStart w:id="2" w:name="_Toc65745075"/>
      <w:r>
        <w:rPr>
          <w:rFonts w:hint="cs"/>
          <w:rtl/>
        </w:rPr>
        <w:t>מטרת הכללים המוצעים והצורך בהם</w:t>
      </w:r>
      <w:bookmarkEnd w:id="2"/>
      <w:r>
        <w:rPr>
          <w:rFonts w:hint="cs"/>
          <w:rtl/>
        </w:rPr>
        <w:t xml:space="preserve"> </w:t>
      </w:r>
    </w:p>
    <w:p w14:paraId="52EFCB5E" w14:textId="77777777" w:rsidR="00E51AD6" w:rsidRDefault="004611EE" w:rsidP="00EB2B74">
      <w:pPr>
        <w:rPr>
          <w:rtl/>
        </w:rPr>
      </w:pPr>
      <w:r>
        <w:rPr>
          <w:rFonts w:hint="cs"/>
          <w:rtl/>
        </w:rPr>
        <w:t xml:space="preserve">סעיף 7(א)(3)(א) לחוק קידום התחרות בענף המזון, התשע"ד-2014 </w:t>
      </w:r>
      <w:r w:rsidR="00E51AD6">
        <w:rPr>
          <w:rFonts w:hint="cs"/>
          <w:rtl/>
        </w:rPr>
        <w:t xml:space="preserve">(להלן </w:t>
      </w:r>
      <w:r w:rsidR="00E51AD6">
        <w:rPr>
          <w:rtl/>
        </w:rPr>
        <w:t>–</w:t>
      </w:r>
      <w:r w:rsidR="00E51AD6">
        <w:rPr>
          <w:rFonts w:hint="cs"/>
          <w:rtl/>
        </w:rPr>
        <w:t xml:space="preserve"> החוק) </w:t>
      </w:r>
      <w:r>
        <w:rPr>
          <w:rFonts w:hint="cs"/>
          <w:rtl/>
        </w:rPr>
        <w:t>אוסר על ספק גדול להכתיב, להמליץ או להתערב בדרך אחרת בעניין המחיר לצרכן שגובה הקמעונאי בעד מצרך שהספק הגדול מספק</w:t>
      </w:r>
      <w:r w:rsidR="00E51AD6">
        <w:rPr>
          <w:rFonts w:hint="cs"/>
          <w:rtl/>
        </w:rPr>
        <w:t xml:space="preserve"> (להלן </w:t>
      </w:r>
      <w:r w:rsidR="00EB2B74">
        <w:rPr>
          <w:rtl/>
        </w:rPr>
        <w:t>–</w:t>
      </w:r>
      <w:r w:rsidR="00E51AD6">
        <w:rPr>
          <w:rFonts w:hint="cs"/>
          <w:rtl/>
        </w:rPr>
        <w:t xml:space="preserve"> האיסור)</w:t>
      </w:r>
      <w:r>
        <w:rPr>
          <w:rFonts w:hint="cs"/>
          <w:rtl/>
        </w:rPr>
        <w:t xml:space="preserve">. </w:t>
      </w:r>
      <w:r w:rsidR="00E51AD6">
        <w:rPr>
          <w:rFonts w:hint="cs"/>
          <w:rtl/>
        </w:rPr>
        <w:t xml:space="preserve">סעיף 7(א)(4) לחוק </w:t>
      </w:r>
      <w:r w:rsidR="006B5E50">
        <w:rPr>
          <w:rFonts w:hint="cs"/>
          <w:rtl/>
        </w:rPr>
        <w:t>מוסיף ו</w:t>
      </w:r>
      <w:r w:rsidR="00E51AD6">
        <w:rPr>
          <w:rFonts w:hint="cs"/>
          <w:rtl/>
        </w:rPr>
        <w:t xml:space="preserve">קובע כי קמעונאי גדול לא יהיה צד להסדר הנופל בגדר האיסור עם ספק גדול. </w:t>
      </w:r>
    </w:p>
    <w:p w14:paraId="5459C098" w14:textId="77777777" w:rsidR="004628A4" w:rsidRDefault="0055211E" w:rsidP="001A4781">
      <w:pPr>
        <w:rPr>
          <w:rtl/>
        </w:rPr>
      </w:pPr>
      <w:r>
        <w:rPr>
          <w:rFonts w:hint="cs"/>
          <w:rtl/>
        </w:rPr>
        <w:t>כללי קידום התחרות בענף המזון (פטור לפעולות ולהסדרים שעניינם מחיר לצרכן</w:t>
      </w:r>
      <w:r w:rsidR="004611EE">
        <w:rPr>
          <w:rFonts w:hint="cs"/>
          <w:rtl/>
        </w:rPr>
        <w:t>) (הוראת שעה), תשע"ה-2014</w:t>
      </w:r>
      <w:r w:rsidR="00E51AD6">
        <w:rPr>
          <w:rFonts w:hint="cs"/>
          <w:rtl/>
        </w:rPr>
        <w:t xml:space="preserve"> (להלן </w:t>
      </w:r>
      <w:r w:rsidR="00E51AD6">
        <w:rPr>
          <w:rtl/>
        </w:rPr>
        <w:t>–</w:t>
      </w:r>
      <w:r w:rsidR="00846AD0">
        <w:rPr>
          <w:rFonts w:hint="cs"/>
          <w:rtl/>
        </w:rPr>
        <w:t xml:space="preserve"> הפטור</w:t>
      </w:r>
      <w:r w:rsidR="00E51AD6">
        <w:rPr>
          <w:rFonts w:hint="cs"/>
          <w:rtl/>
        </w:rPr>
        <w:t>)</w:t>
      </w:r>
      <w:r w:rsidR="00B91F5B">
        <w:rPr>
          <w:rFonts w:hint="cs"/>
          <w:rtl/>
        </w:rPr>
        <w:t xml:space="preserve"> פוטרים מן האיסור </w:t>
      </w:r>
      <w:r w:rsidR="004628A4">
        <w:rPr>
          <w:rFonts w:hint="cs"/>
          <w:rtl/>
        </w:rPr>
        <w:t>מעורבות של ספק גדול במחיר לצרכן</w:t>
      </w:r>
      <w:r w:rsidR="001A4781">
        <w:rPr>
          <w:rFonts w:hint="cs"/>
          <w:rtl/>
        </w:rPr>
        <w:t xml:space="preserve"> שעיקרה אינו בהפחתת התחרות וש</w:t>
      </w:r>
      <w:r w:rsidR="004628A4">
        <w:rPr>
          <w:rFonts w:hint="cs"/>
          <w:rtl/>
        </w:rPr>
        <w:t>עניינה הוזלת מחיר, מחיר מירבי שיגבה הקמעונאי או הטבת מחיר</w:t>
      </w:r>
      <w:r w:rsidR="00846AD0">
        <w:rPr>
          <w:rFonts w:hint="cs"/>
          <w:rtl/>
        </w:rPr>
        <w:t xml:space="preserve"> וזאת בהתקיים תנאי הפטור. </w:t>
      </w:r>
    </w:p>
    <w:p w14:paraId="123E7332" w14:textId="77777777" w:rsidR="00CE6678" w:rsidRDefault="001A4781" w:rsidP="00307E94">
      <w:pPr>
        <w:rPr>
          <w:rtl/>
        </w:rPr>
      </w:pPr>
      <w:r>
        <w:rPr>
          <w:rFonts w:hint="cs"/>
          <w:rtl/>
        </w:rPr>
        <w:t xml:space="preserve">במסגרת התיקון </w:t>
      </w:r>
      <w:r w:rsidR="00CE6678">
        <w:rPr>
          <w:rFonts w:hint="cs"/>
          <w:rtl/>
        </w:rPr>
        <w:t xml:space="preserve">מוצע לחדש את תוקף הכללים לתקופה של שש שנים נוספות. </w:t>
      </w:r>
    </w:p>
    <w:p w14:paraId="00D5EED4" w14:textId="77777777" w:rsidR="00CE6678" w:rsidRDefault="00CE6678" w:rsidP="00307E94">
      <w:pPr>
        <w:rPr>
          <w:rtl/>
        </w:rPr>
      </w:pPr>
    </w:p>
    <w:p w14:paraId="2A37EE31" w14:textId="77777777" w:rsidR="00CE6678" w:rsidRDefault="00CE6678" w:rsidP="00307E94">
      <w:pPr>
        <w:rPr>
          <w:rtl/>
        </w:rPr>
      </w:pPr>
    </w:p>
    <w:p w14:paraId="3EB9A9F7" w14:textId="77777777" w:rsidR="00CE6678" w:rsidRDefault="00CE6678" w:rsidP="00F24A78">
      <w:pPr>
        <w:pStyle w:val="Heading4"/>
        <w:rPr>
          <w:rtl/>
        </w:rPr>
      </w:pPr>
      <w:bookmarkStart w:id="3" w:name="_Toc65745076"/>
      <w:r>
        <w:rPr>
          <w:rFonts w:hint="cs"/>
          <w:rtl/>
        </w:rPr>
        <w:t>להלן נוסח טיוטת הכללים המוצעים:</w:t>
      </w:r>
      <w:bookmarkEnd w:id="3"/>
      <w:r>
        <w:rPr>
          <w:rFonts w:hint="cs"/>
          <w:rtl/>
        </w:rPr>
        <w:t xml:space="preserve"> </w:t>
      </w:r>
    </w:p>
    <w:p w14:paraId="73BA37BD" w14:textId="77777777" w:rsidR="00CE6678" w:rsidRDefault="00CE6678" w:rsidP="00307E94">
      <w:pPr>
        <w:bidi w:val="0"/>
        <w:rPr>
          <w:rtl/>
        </w:rPr>
      </w:pPr>
      <w:r>
        <w:rPr>
          <w:rtl/>
        </w:rPr>
        <w:br w:type="page"/>
      </w:r>
    </w:p>
    <w:p w14:paraId="49F94F70" w14:textId="77777777" w:rsidR="00CE6678" w:rsidRDefault="00CE6678" w:rsidP="00CE6678">
      <w:pPr>
        <w:pStyle w:val="HeadHatzaotHok"/>
        <w:keepNext w:val="0"/>
        <w:keepLines w:val="0"/>
        <w:rPr>
          <w:rtl/>
        </w:rPr>
      </w:pPr>
      <w:bookmarkStart w:id="4" w:name="_Toc65745077"/>
      <w:r>
        <w:rPr>
          <w:rtl/>
        </w:rPr>
        <w:lastRenderedPageBreak/>
        <w:t xml:space="preserve">טיוטת כללי </w:t>
      </w:r>
      <w:r>
        <w:rPr>
          <w:rFonts w:hint="cs"/>
          <w:rtl/>
        </w:rPr>
        <w:t xml:space="preserve">קידום התחרות בענף המזון (פטור לפעולות ולהסדרים </w:t>
      </w:r>
      <w:r w:rsidR="006E667C">
        <w:rPr>
          <w:rFonts w:hint="cs"/>
          <w:rtl/>
        </w:rPr>
        <w:t>שעניינם מחיר לצרכן) (הוראת שעה)</w:t>
      </w:r>
      <w:r>
        <w:rPr>
          <w:rFonts w:hint="cs"/>
          <w:rtl/>
        </w:rPr>
        <w:t>, התשפ"א-2021</w:t>
      </w:r>
      <w:bookmarkEnd w:id="4"/>
    </w:p>
    <w:tbl>
      <w:tblPr>
        <w:bidiVisual/>
        <w:tblW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CE6678" w14:paraId="408835B0" w14:textId="77777777" w:rsidTr="00307E94">
        <w:trPr>
          <w:cantSplit/>
          <w:trHeight w:val="60"/>
        </w:trPr>
        <w:tc>
          <w:tcPr>
            <w:tcW w:w="1871" w:type="dxa"/>
          </w:tcPr>
          <w:p w14:paraId="7C69463D" w14:textId="77777777" w:rsidR="00CE6678" w:rsidRDefault="00CE667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6DB88818" w14:textId="77777777" w:rsidR="00CE6678" w:rsidRDefault="00CE6678">
            <w:pPr>
              <w:pStyle w:val="TableText"/>
            </w:pPr>
          </w:p>
        </w:tc>
        <w:tc>
          <w:tcPr>
            <w:tcW w:w="7146" w:type="dxa"/>
            <w:hideMark/>
          </w:tcPr>
          <w:p w14:paraId="5B49FD53" w14:textId="77777777" w:rsidR="00CE6678" w:rsidRDefault="00CE6678" w:rsidP="00CE6678">
            <w:pPr>
              <w:pStyle w:val="TableBlock"/>
            </w:pPr>
            <w:r>
              <w:rPr>
                <w:rtl/>
              </w:rPr>
              <w:t xml:space="preserve">בתוקף </w:t>
            </w:r>
            <w:r>
              <w:rPr>
                <w:rFonts w:hint="cs"/>
                <w:rtl/>
              </w:rPr>
              <w:t>סמכותי לפי סעיף 7(ג) לחוק קידום התחרות בענף המזון, התשע"ד-2014</w:t>
            </w:r>
            <w:r w:rsidR="004A7235">
              <w:rPr>
                <w:rStyle w:val="FootnoteReference"/>
                <w:rtl/>
              </w:rPr>
              <w:footnoteReference w:id="1"/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החוק), אני קובעת כללים אלה</w:t>
            </w:r>
            <w:r>
              <w:rPr>
                <w:rtl/>
              </w:rPr>
              <w:t>:</w:t>
            </w:r>
          </w:p>
        </w:tc>
      </w:tr>
      <w:tr w:rsidR="00CE6678" w14:paraId="39686B59" w14:textId="77777777" w:rsidTr="00307E94">
        <w:trPr>
          <w:cantSplit/>
          <w:trHeight w:val="60"/>
        </w:trPr>
        <w:tc>
          <w:tcPr>
            <w:tcW w:w="1871" w:type="dxa"/>
          </w:tcPr>
          <w:p w14:paraId="4480874A" w14:textId="77777777" w:rsidR="00CE6678" w:rsidRDefault="00CE6678">
            <w:pPr>
              <w:pStyle w:val="TableSideHeading"/>
            </w:pPr>
          </w:p>
        </w:tc>
        <w:tc>
          <w:tcPr>
            <w:tcW w:w="624" w:type="dxa"/>
          </w:tcPr>
          <w:p w14:paraId="11D3005F" w14:textId="77777777" w:rsidR="00CE6678" w:rsidRDefault="00CE6678">
            <w:pPr>
              <w:pStyle w:val="TableText"/>
            </w:pPr>
          </w:p>
        </w:tc>
        <w:tc>
          <w:tcPr>
            <w:tcW w:w="7146" w:type="dxa"/>
          </w:tcPr>
          <w:p w14:paraId="66C1F1DC" w14:textId="77777777" w:rsidR="00CE6678" w:rsidRDefault="00CE6678">
            <w:pPr>
              <w:pStyle w:val="TableHead"/>
              <w:rPr>
                <w:rtl/>
              </w:rPr>
            </w:pPr>
          </w:p>
        </w:tc>
      </w:tr>
      <w:tr w:rsidR="00CE6678" w14:paraId="581A56C2" w14:textId="77777777" w:rsidTr="00307E94">
        <w:trPr>
          <w:cantSplit/>
          <w:trHeight w:val="60"/>
        </w:trPr>
        <w:tc>
          <w:tcPr>
            <w:tcW w:w="1871" w:type="dxa"/>
          </w:tcPr>
          <w:p w14:paraId="75EB1AC8" w14:textId="77777777" w:rsidR="00CE6678" w:rsidRDefault="003760AC">
            <w:pPr>
              <w:pStyle w:val="TableSideHeading"/>
            </w:pPr>
            <w:bookmarkStart w:id="5" w:name="_Toc65745078"/>
            <w:r>
              <w:rPr>
                <w:rFonts w:hint="cs"/>
                <w:rtl/>
              </w:rPr>
              <w:t>תיקון סעיף 7</w:t>
            </w:r>
            <w:bookmarkEnd w:id="5"/>
          </w:p>
        </w:tc>
        <w:tc>
          <w:tcPr>
            <w:tcW w:w="624" w:type="dxa"/>
          </w:tcPr>
          <w:p w14:paraId="576F689C" w14:textId="77777777" w:rsidR="00CE6678" w:rsidRDefault="00CE6678" w:rsidP="00CE6678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14:paraId="680D0F8C" w14:textId="77777777" w:rsidR="00CE6678" w:rsidRDefault="003760AC" w:rsidP="000E4037">
            <w:pPr>
              <w:pStyle w:val="TableBlock"/>
            </w:pPr>
            <w:r>
              <w:rPr>
                <w:rFonts w:hint="cs"/>
                <w:rtl/>
              </w:rPr>
              <w:t>בכללי קידום התחרות בענף המזון (פטור לפעולות ולהסדרים שעניינם מחיר לצרכן) (הוראת שעה), תשע"ה-2014</w:t>
            </w:r>
            <w:r w:rsidR="000E4037">
              <w:rPr>
                <w:rStyle w:val="FootnoteReference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, בסעיף 7, </w:t>
            </w:r>
            <w:r w:rsidR="000E4037">
              <w:rPr>
                <w:rFonts w:hint="cs"/>
                <w:rtl/>
              </w:rPr>
              <w:t>במקום "</w:t>
            </w:r>
            <w:r w:rsidR="000E4037" w:rsidRPr="000E4037">
              <w:rPr>
                <w:rFonts w:hint="cs"/>
                <w:rtl/>
              </w:rPr>
              <w:t>ותוקפם למשך שש שנים</w:t>
            </w:r>
            <w:r w:rsidR="000E4037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יבוא "</w:t>
            </w:r>
            <w:r w:rsidR="000E4037">
              <w:rPr>
                <w:rFonts w:hint="cs"/>
                <w:rtl/>
              </w:rPr>
              <w:t xml:space="preserve">ותוקפם </w:t>
            </w:r>
            <w:r w:rsidR="00F57231">
              <w:rPr>
                <w:rFonts w:hint="cs"/>
                <w:rtl/>
              </w:rPr>
              <w:t xml:space="preserve">עד ליום </w:t>
            </w:r>
            <w:r w:rsidR="001A4781">
              <w:rPr>
                <w:rFonts w:hint="cs"/>
                <w:rtl/>
              </w:rPr>
              <w:t xml:space="preserve">כ"ה באייר </w:t>
            </w:r>
            <w:proofErr w:type="spellStart"/>
            <w:r w:rsidR="001A4781">
              <w:rPr>
                <w:rFonts w:hint="cs"/>
                <w:rtl/>
              </w:rPr>
              <w:t>התשפ"ז</w:t>
            </w:r>
            <w:proofErr w:type="spellEnd"/>
            <w:r w:rsidR="001A4781">
              <w:rPr>
                <w:rFonts w:hint="cs"/>
                <w:rtl/>
              </w:rPr>
              <w:t xml:space="preserve"> (1 </w:t>
            </w:r>
            <w:r w:rsidR="00006CE6">
              <w:rPr>
                <w:rFonts w:hint="cs"/>
                <w:rtl/>
              </w:rPr>
              <w:t>ב</w:t>
            </w:r>
            <w:r w:rsidR="001A4781">
              <w:rPr>
                <w:rFonts w:hint="cs"/>
                <w:rtl/>
              </w:rPr>
              <w:t>יוני 2027)</w:t>
            </w:r>
            <w:r>
              <w:rPr>
                <w:rFonts w:hint="cs"/>
                <w:rtl/>
              </w:rPr>
              <w:t>"</w:t>
            </w:r>
            <w:r w:rsidR="001A4781">
              <w:rPr>
                <w:rFonts w:hint="cs"/>
                <w:rtl/>
              </w:rPr>
              <w:t xml:space="preserve">. </w:t>
            </w:r>
          </w:p>
        </w:tc>
      </w:tr>
    </w:tbl>
    <w:p w14:paraId="057F35B5" w14:textId="77777777" w:rsidR="00CE6678" w:rsidRDefault="00CE6678" w:rsidP="00307E94"/>
    <w:p w14:paraId="7C3C2370" w14:textId="77777777" w:rsidR="00CE6678" w:rsidRDefault="00CE6678" w:rsidP="00307E94">
      <w:pPr>
        <w:rPr>
          <w:rtl/>
        </w:rPr>
      </w:pPr>
    </w:p>
    <w:p w14:paraId="2A2872DB" w14:textId="77777777" w:rsidR="00CE6678" w:rsidRDefault="00CE6678" w:rsidP="00307E94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14:paraId="6CCAF613" w14:textId="77777777" w:rsidR="00CE6678" w:rsidRDefault="00CE6678" w:rsidP="00307E94">
      <w:pPr>
        <w:rPr>
          <w:rFonts w:eastAsia="Calibri"/>
          <w:rtl/>
        </w:rPr>
      </w:pPr>
      <w:r>
        <w:rPr>
          <w:rFonts w:eastAsia="Calibri" w:hint="cs"/>
          <w:rtl/>
        </w:rPr>
        <w:t>[תאריך עברי] ([תאריך לועזי])</w:t>
      </w:r>
    </w:p>
    <w:p w14:paraId="414F31C9" w14:textId="77777777" w:rsidR="00CE6678" w:rsidRDefault="00CE6678" w:rsidP="00307E94">
      <w:pPr>
        <w:rPr>
          <w:rFonts w:eastAsia="Calibri"/>
          <w:rtl/>
        </w:rPr>
      </w:pPr>
      <w:r>
        <w:rPr>
          <w:rFonts w:eastAsia="Calibri" w:hint="cs"/>
          <w:rtl/>
        </w:rPr>
        <w:t>(</w:t>
      </w:r>
      <w:proofErr w:type="spellStart"/>
      <w:r>
        <w:rPr>
          <w:rFonts w:eastAsia="Calibri" w:hint="cs"/>
          <w:rtl/>
        </w:rPr>
        <w:t>חמ</w:t>
      </w:r>
      <w:proofErr w:type="spellEnd"/>
      <w:r>
        <w:rPr>
          <w:rFonts w:eastAsia="Calibri" w:hint="cs"/>
          <w:rtl/>
        </w:rPr>
        <w:t xml:space="preserve"> _____-3)</w:t>
      </w:r>
    </w:p>
    <w:p w14:paraId="1635C1AA" w14:textId="77777777" w:rsidR="00CE6678" w:rsidRDefault="00CE6678" w:rsidP="00307E94">
      <w:pPr>
        <w:rPr>
          <w:rFonts w:eastAsia="Calibri"/>
          <w:rtl/>
        </w:rPr>
      </w:pPr>
    </w:p>
    <w:p w14:paraId="275361D6" w14:textId="77777777" w:rsidR="00CE6678" w:rsidRDefault="00006CE6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14:paraId="44DD28BB" w14:textId="77777777" w:rsidR="00CE6678" w:rsidRDefault="00006CE6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מיכל הלפרין</w:t>
      </w:r>
    </w:p>
    <w:p w14:paraId="73706D8A" w14:textId="77777777" w:rsidR="00CE6678" w:rsidRDefault="00006CE6" w:rsidP="00006CE6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הממונה על התחרות</w:t>
      </w:r>
    </w:p>
    <w:p w14:paraId="3B273EA5" w14:textId="77777777" w:rsidR="00CE6678" w:rsidRDefault="00CE6678" w:rsidP="00307E94">
      <w:pPr>
        <w:pStyle w:val="HeadDivreiHesber"/>
        <w:rPr>
          <w:rtl/>
        </w:rPr>
      </w:pPr>
      <w:bookmarkStart w:id="6" w:name="_Toc65745079"/>
      <w:r>
        <w:rPr>
          <w:rtl/>
        </w:rPr>
        <w:t>דברי הסבר</w:t>
      </w:r>
      <w:bookmarkEnd w:id="6"/>
    </w:p>
    <w:p w14:paraId="6B9B0EFD" w14:textId="77777777" w:rsidR="007F4C9C" w:rsidRDefault="007F4C9C" w:rsidP="007F4C9C">
      <w:pPr>
        <w:rPr>
          <w:rtl/>
        </w:rPr>
      </w:pPr>
      <w:r>
        <w:rPr>
          <w:rFonts w:hint="cs"/>
          <w:rtl/>
        </w:rPr>
        <w:t xml:space="preserve">סעיף 7(א)(3)(א) לחוק קידום התחרות בענף המזון, התשע"ד-2014 (להלן </w:t>
      </w:r>
      <w:r>
        <w:rPr>
          <w:rtl/>
        </w:rPr>
        <w:t>–</w:t>
      </w:r>
      <w:r>
        <w:rPr>
          <w:rFonts w:hint="cs"/>
          <w:rtl/>
        </w:rPr>
        <w:t xml:space="preserve"> החוק) אוסר על ספק גדול להכתיב, להמליץ או להתערב בדרך אחרת בעניין המחיר לצרכן שגובה הקמעונאי בעד מצרך שהספק הגדול מספק (להלן </w:t>
      </w:r>
      <w:r>
        <w:rPr>
          <w:rtl/>
        </w:rPr>
        <w:t>–</w:t>
      </w:r>
      <w:r>
        <w:rPr>
          <w:rFonts w:hint="cs"/>
          <w:rtl/>
        </w:rPr>
        <w:t xml:space="preserve"> האיסור). סעיף 7(א)(4) לחוק מוסיף וקובע כי קמעונאי גדול לא יהיה צד להסדר הנופל בגדר האיסור עם ספק גדול. </w:t>
      </w:r>
    </w:p>
    <w:p w14:paraId="369AF1F4" w14:textId="77777777" w:rsidR="007F4C9C" w:rsidRDefault="007F4C9C" w:rsidP="007F4C9C">
      <w:pPr>
        <w:rPr>
          <w:rtl/>
        </w:rPr>
      </w:pPr>
      <w:r>
        <w:rPr>
          <w:rFonts w:hint="cs"/>
          <w:rtl/>
        </w:rPr>
        <w:t xml:space="preserve">כללי קידום התחרות בענף המזון (פטור לפעולות ולהסדרים שעניינם מחיר לצרכן) (הוראת שעה), תשע"ה-2014 (להלן </w:t>
      </w:r>
      <w:r>
        <w:rPr>
          <w:rtl/>
        </w:rPr>
        <w:t>–</w:t>
      </w:r>
      <w:r>
        <w:rPr>
          <w:rFonts w:hint="cs"/>
          <w:rtl/>
        </w:rPr>
        <w:t xml:space="preserve"> הפטור) פוטרים מן האיסור מעורבות של ספק גדול במחיר לצרכן שעיקרה אינו בהפחתת התחרות ושעניינה הוזלת מחיר, מחיר מירבי שיגבה הקמעונאי או הטבת מחיר וזאת בהתקיים תנאי הפטור. </w:t>
      </w:r>
    </w:p>
    <w:p w14:paraId="7140E2CC" w14:textId="77777777" w:rsidR="006D7F0E" w:rsidRDefault="007F4C9C" w:rsidP="007F4C9C">
      <w:pPr>
        <w:rPr>
          <w:rtl/>
        </w:rPr>
      </w:pPr>
      <w:r>
        <w:rPr>
          <w:rFonts w:hint="cs"/>
          <w:rtl/>
        </w:rPr>
        <w:t>במסגרת התיקון מוצע לחדש את תוקף הכללים לתקופה של שש שנים נוספות.</w:t>
      </w:r>
    </w:p>
    <w:p w14:paraId="61499F0C" w14:textId="77777777" w:rsidR="005D0F89" w:rsidRDefault="005D0F89" w:rsidP="007F4C9C">
      <w:r>
        <w:rPr>
          <w:rFonts w:hint="cs"/>
          <w:rtl/>
        </w:rPr>
        <w:t>למען הסר ספק יובהר כי מכוח סעיף 38 לחוק יסוד: הכנסת, הוראת השעה התקפה מוארכת אוטומטית עד תום שלושת החודשים הראשונים לתקופת כהונתה של הכנסת הנכנסת.</w:t>
      </w:r>
    </w:p>
    <w:sectPr w:rsidR="005D0F89" w:rsidSect="00CE6678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56BB" w14:textId="77777777" w:rsidR="00E3455E" w:rsidRDefault="00E3455E" w:rsidP="000E4037">
      <w:pPr>
        <w:spacing w:line="240" w:lineRule="auto"/>
      </w:pPr>
      <w:r>
        <w:separator/>
      </w:r>
    </w:p>
  </w:endnote>
  <w:endnote w:type="continuationSeparator" w:id="0">
    <w:p w14:paraId="4CF125B2" w14:textId="77777777" w:rsidR="00E3455E" w:rsidRDefault="00E3455E" w:rsidP="000E4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4FFA" w14:textId="77777777" w:rsidR="00E3455E" w:rsidRDefault="00E3455E" w:rsidP="004A7235">
      <w:pPr>
        <w:spacing w:line="240" w:lineRule="auto"/>
        <w:ind w:left="0"/>
      </w:pPr>
      <w:r>
        <w:separator/>
      </w:r>
    </w:p>
  </w:footnote>
  <w:footnote w:type="continuationSeparator" w:id="0">
    <w:p w14:paraId="5FA3D155" w14:textId="77777777" w:rsidR="00E3455E" w:rsidRDefault="00E3455E" w:rsidP="000E4037">
      <w:pPr>
        <w:spacing w:line="240" w:lineRule="auto"/>
      </w:pPr>
      <w:r>
        <w:continuationSeparator/>
      </w:r>
    </w:p>
  </w:footnote>
  <w:footnote w:id="1">
    <w:p w14:paraId="78C3F97D" w14:textId="77777777" w:rsidR="004A7235" w:rsidRDefault="004A723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E7754D">
        <w:rPr>
          <w:rFonts w:hint="cs"/>
          <w:rtl/>
        </w:rPr>
        <w:t>ס</w:t>
      </w:r>
      <w:r>
        <w:rPr>
          <w:rFonts w:hint="cs"/>
          <w:rtl/>
        </w:rPr>
        <w:t>"ח התשע"ד, עמ' 438.</w:t>
      </w:r>
    </w:p>
  </w:footnote>
  <w:footnote w:id="2">
    <w:p w14:paraId="11471BC9" w14:textId="77777777" w:rsidR="000E4037" w:rsidRDefault="000E403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A7235">
        <w:rPr>
          <w:rFonts w:hint="cs"/>
          <w:rtl/>
        </w:rPr>
        <w:t>ק"ת התשע"ה</w:t>
      </w:r>
      <w:r w:rsidR="004A7235">
        <w:rPr>
          <w:rFonts w:hint="cs"/>
          <w:rtl/>
        </w:rPr>
        <w:t xml:space="preserve">, עמ' 558; ק"ת התשע"ח, עמ' 806.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Heading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78"/>
    <w:rsid w:val="00006CE6"/>
    <w:rsid w:val="000E4037"/>
    <w:rsid w:val="0011718E"/>
    <w:rsid w:val="001A4781"/>
    <w:rsid w:val="002347A0"/>
    <w:rsid w:val="003760AC"/>
    <w:rsid w:val="004611EE"/>
    <w:rsid w:val="004628A4"/>
    <w:rsid w:val="004A7235"/>
    <w:rsid w:val="005155A6"/>
    <w:rsid w:val="00524B99"/>
    <w:rsid w:val="00542D46"/>
    <w:rsid w:val="0055211E"/>
    <w:rsid w:val="005D0F89"/>
    <w:rsid w:val="00666C22"/>
    <w:rsid w:val="006B5E50"/>
    <w:rsid w:val="006D7F0E"/>
    <w:rsid w:val="006E667C"/>
    <w:rsid w:val="007A4F79"/>
    <w:rsid w:val="007F4C9C"/>
    <w:rsid w:val="00846AD0"/>
    <w:rsid w:val="00877829"/>
    <w:rsid w:val="008B232E"/>
    <w:rsid w:val="00970BEA"/>
    <w:rsid w:val="00A43327"/>
    <w:rsid w:val="00B35ED9"/>
    <w:rsid w:val="00B91F5B"/>
    <w:rsid w:val="00BF531C"/>
    <w:rsid w:val="00C47340"/>
    <w:rsid w:val="00CE6678"/>
    <w:rsid w:val="00D77E34"/>
    <w:rsid w:val="00E3455E"/>
    <w:rsid w:val="00E51AD6"/>
    <w:rsid w:val="00E6769E"/>
    <w:rsid w:val="00E7754D"/>
    <w:rsid w:val="00EB2B74"/>
    <w:rsid w:val="00EE69F3"/>
    <w:rsid w:val="00F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831"/>
  <w15:chartTrackingRefBased/>
  <w15:docId w15:val="{8DD58A79-FF7A-4DB3-9FDE-520B67EA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34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34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77E34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77E34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E34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7E34"/>
    <w:pPr>
      <w:spacing w:line="259" w:lineRule="auto"/>
      <w:outlineLvl w:val="4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E34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77E34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Normal"/>
    <w:rsid w:val="00D77E34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D77E34"/>
    <w:pPr>
      <w:outlineLvl w:val="2"/>
    </w:pPr>
  </w:style>
  <w:style w:type="paragraph" w:customStyle="1" w:styleId="TableBlock">
    <w:name w:val="Table Block"/>
    <w:basedOn w:val="TableText"/>
    <w:rsid w:val="00D77E34"/>
    <w:pPr>
      <w:jc w:val="both"/>
    </w:pPr>
  </w:style>
  <w:style w:type="paragraph" w:customStyle="1" w:styleId="TableHead">
    <w:name w:val="Table Head"/>
    <w:basedOn w:val="TableText"/>
    <w:rsid w:val="00D77E34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Normal"/>
    <w:rsid w:val="00D77E34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Normal"/>
    <w:rsid w:val="00D77E34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DivreiHesber">
    <w:name w:val="Head DivreiHesber"/>
    <w:basedOn w:val="Normal"/>
    <w:rsid w:val="00D77E34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Heading2Char">
    <w:name w:val="Heading 2 Char"/>
    <w:basedOn w:val="DefaultParagraphFont"/>
    <w:link w:val="Heading2"/>
    <w:rsid w:val="00D77E34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rsid w:val="00D77E34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Heading5Char">
    <w:name w:val="Heading 5 Char"/>
    <w:basedOn w:val="DefaultParagraphFont"/>
    <w:link w:val="Heading5"/>
    <w:uiPriority w:val="9"/>
    <w:rsid w:val="00D77E34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D77E34"/>
    <w:pPr>
      <w:spacing w:before="120" w:after="120"/>
    </w:pPr>
    <w:rPr>
      <w:color w:val="FF0000"/>
      <w:w w:val="80"/>
    </w:rPr>
  </w:style>
  <w:style w:type="paragraph" w:styleId="EndnoteText">
    <w:name w:val="endnote text"/>
    <w:basedOn w:val="Normal"/>
    <w:link w:val="EndnoteTextChar"/>
    <w:semiHidden/>
    <w:rsid w:val="00D77E34"/>
    <w:pPr>
      <w:ind w:left="227" w:hanging="227"/>
    </w:pPr>
    <w:rPr>
      <w:sz w:val="14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CE6678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D77E34"/>
    <w:pPr>
      <w:outlineLvl w:val="9"/>
    </w:pPr>
  </w:style>
  <w:style w:type="paragraph" w:customStyle="1" w:styleId="Hesber">
    <w:name w:val="Hesber"/>
    <w:basedOn w:val="Normal"/>
    <w:rsid w:val="00D77E34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FootnoteText">
    <w:name w:val="footnote text"/>
    <w:basedOn w:val="Normal"/>
    <w:link w:val="FootnoteTextChar"/>
    <w:autoRedefine/>
    <w:semiHidden/>
    <w:rsid w:val="00D77E34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678"/>
    <w:rPr>
      <w:rFonts w:ascii="Arial" w:eastAsia="Arial Unicode MS" w:hAnsi="Arial" w:cs="David"/>
      <w:snapToGrid w:val="0"/>
      <w:sz w:val="14"/>
      <w:szCs w:val="20"/>
    </w:rPr>
  </w:style>
  <w:style w:type="character" w:styleId="FootnoteReference">
    <w:name w:val="footnote reference"/>
    <w:basedOn w:val="DefaultParagraphFont"/>
    <w:semiHidden/>
    <w:rsid w:val="00D77E34"/>
    <w:rPr>
      <w:vertAlign w:val="superscript"/>
    </w:rPr>
  </w:style>
  <w:style w:type="paragraph" w:customStyle="1" w:styleId="HesberHeading">
    <w:name w:val="Hesber Heading"/>
    <w:basedOn w:val="Hesber"/>
    <w:rsid w:val="00D77E34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D77E34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D77E34"/>
    <w:pPr>
      <w:tabs>
        <w:tab w:val="left" w:pos="680"/>
        <w:tab w:val="left" w:pos="1020"/>
      </w:tabs>
      <w:ind w:firstLine="0"/>
    </w:pPr>
  </w:style>
  <w:style w:type="character" w:styleId="EndnoteReference">
    <w:name w:val="endnote reference"/>
    <w:basedOn w:val="DefaultParagraphFont"/>
    <w:semiHidden/>
    <w:rsid w:val="00D77E34"/>
    <w:rPr>
      <w:vertAlign w:val="superscript"/>
    </w:rPr>
  </w:style>
  <w:style w:type="paragraph" w:customStyle="1" w:styleId="TableBlockOutdent">
    <w:name w:val="Table BlockOutdent"/>
    <w:basedOn w:val="TableBlock"/>
    <w:rsid w:val="00D77E34"/>
    <w:pPr>
      <w:ind w:left="624" w:hanging="624"/>
    </w:pPr>
  </w:style>
  <w:style w:type="paragraph" w:styleId="Header">
    <w:name w:val="header"/>
    <w:basedOn w:val="Normal"/>
    <w:link w:val="HeaderChar"/>
    <w:rsid w:val="00D77E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6678"/>
    <w:rPr>
      <w:rFonts w:ascii="David" w:hAnsi="David" w:cs="David"/>
      <w:sz w:val="24"/>
      <w:szCs w:val="24"/>
    </w:rPr>
  </w:style>
  <w:style w:type="paragraph" w:styleId="Footer">
    <w:name w:val="footer"/>
    <w:basedOn w:val="Normal"/>
    <w:link w:val="FooterChar"/>
    <w:rsid w:val="00D77E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6678"/>
    <w:rPr>
      <w:rFonts w:ascii="David" w:hAnsi="David" w:cs="David"/>
      <w:sz w:val="24"/>
      <w:szCs w:val="24"/>
    </w:rPr>
  </w:style>
  <w:style w:type="character" w:styleId="PageNumber">
    <w:name w:val="page number"/>
    <w:basedOn w:val="DefaultParagraphFont"/>
    <w:rsid w:val="00D77E34"/>
  </w:style>
  <w:style w:type="paragraph" w:customStyle="1" w:styleId="Cover1-Reshumot">
    <w:name w:val="Cover 1-Reshumot"/>
    <w:basedOn w:val="Normal"/>
    <w:rsid w:val="00D77E34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D77E34"/>
    <w:rPr>
      <w:sz w:val="36"/>
      <w:szCs w:val="52"/>
    </w:rPr>
  </w:style>
  <w:style w:type="paragraph" w:customStyle="1" w:styleId="Cover3-Haknesset">
    <w:name w:val="Cover 3-Haknesset"/>
    <w:basedOn w:val="Cover1-Reshumot"/>
    <w:rsid w:val="00D77E34"/>
    <w:rPr>
      <w:b/>
      <w:bCs/>
      <w:spacing w:val="60"/>
    </w:rPr>
  </w:style>
  <w:style w:type="paragraph" w:customStyle="1" w:styleId="Cover4-Date">
    <w:name w:val="Cover 4-Date"/>
    <w:basedOn w:val="Normal"/>
    <w:rsid w:val="00D77E34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Normal"/>
    <w:rsid w:val="00D77E34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77E34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D77E34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Normal"/>
    <w:next w:val="Normal"/>
    <w:uiPriority w:val="39"/>
    <w:unhideWhenUsed/>
    <w:rsid w:val="00D77E34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D77E34"/>
    <w:rPr>
      <w:color w:val="0563C1" w:themeColor="hyperlink"/>
      <w:u w:val="single"/>
    </w:rPr>
  </w:style>
  <w:style w:type="paragraph" w:styleId="TOC3">
    <w:name w:val="toc 3"/>
    <w:basedOn w:val="Normal"/>
    <w:next w:val="Normal"/>
    <w:uiPriority w:val="39"/>
    <w:unhideWhenUsed/>
    <w:rsid w:val="00D77E34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77E34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Normal"/>
    <w:next w:val="Normal"/>
    <w:semiHidden/>
    <w:unhideWhenUsed/>
    <w:rsid w:val="00D77E34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Normal"/>
    <w:next w:val="Normal"/>
    <w:autoRedefine/>
    <w:semiHidden/>
    <w:unhideWhenUsed/>
    <w:rsid w:val="00D77E34"/>
    <w:pPr>
      <w:spacing w:after="100"/>
      <w:ind w:left="850"/>
    </w:pPr>
  </w:style>
  <w:style w:type="paragraph" w:styleId="TOC7">
    <w:name w:val="toc 7"/>
    <w:basedOn w:val="Normal"/>
    <w:next w:val="Normal"/>
    <w:autoRedefine/>
    <w:semiHidden/>
    <w:unhideWhenUsed/>
    <w:rsid w:val="00D77E34"/>
    <w:pPr>
      <w:spacing w:after="100"/>
      <w:ind w:left="1020"/>
    </w:pPr>
  </w:style>
  <w:style w:type="paragraph" w:styleId="TOC8">
    <w:name w:val="toc 8"/>
    <w:basedOn w:val="Normal"/>
    <w:next w:val="Normal"/>
    <w:autoRedefine/>
    <w:semiHidden/>
    <w:unhideWhenUsed/>
    <w:rsid w:val="00D77E34"/>
    <w:pPr>
      <w:spacing w:after="100"/>
      <w:ind w:left="1190"/>
    </w:pPr>
  </w:style>
  <w:style w:type="paragraph" w:styleId="TOC9">
    <w:name w:val="toc 9"/>
    <w:basedOn w:val="Normal"/>
    <w:next w:val="Normal"/>
    <w:autoRedefine/>
    <w:semiHidden/>
    <w:unhideWhenUsed/>
    <w:rsid w:val="00D77E34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D77E34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D77E34"/>
    <w:pPr>
      <w:keepLines w:val="0"/>
      <w:outlineLvl w:val="9"/>
    </w:pPr>
  </w:style>
  <w:style w:type="paragraph" w:customStyle="1" w:styleId="0">
    <w:name w:val="סגנון שורה ראשונה:  0  ס''מ"/>
    <w:basedOn w:val="Heading2"/>
    <w:rsid w:val="00D77E3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77E34"/>
    <w:pPr>
      <w:widowControl/>
      <w:spacing w:line="259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rsid w:val="00D77E3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7E3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77E3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name w:val="טבלת חקיקה"/>
    <w:basedOn w:val="TableNormal"/>
    <w:uiPriority w:val="99"/>
    <w:rsid w:val="00D77E34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">
    <w:name w:val="סגנון1"/>
    <w:basedOn w:val="TableNormal"/>
    <w:uiPriority w:val="99"/>
    <w:rsid w:val="00D77E3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Rashut_domain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Belkin</dc:creator>
  <cp:keywords/>
  <dc:description/>
  <cp:lastModifiedBy>Sher Office</cp:lastModifiedBy>
  <cp:revision>2</cp:revision>
  <dcterms:created xsi:type="dcterms:W3CDTF">2021-03-15T07:31:00Z</dcterms:created>
  <dcterms:modified xsi:type="dcterms:W3CDTF">2021-03-15T07:31:00Z</dcterms:modified>
</cp:coreProperties>
</file>