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b/>
          <w:bCs/>
          <w:sz w:val="20"/>
          <w:szCs w:val="20"/>
        </w:rPr>
      </w:pPr>
      <w:r w:rsidRPr="00E635A2">
        <w:rPr>
          <w:rFonts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sz w:val="20"/>
          <w:szCs w:val="20"/>
          <w:rtl/>
        </w:rPr>
        <w:t>2087967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 ושלוש</w:t>
      </w:r>
      <w:bookmarkEnd w:id="1"/>
    </w:p>
    <w:p w14:paraId="7F6961A3" w14:textId="77777777" w:rsidR="00E13C27" w:rsidRPr="00F67051" w:rsidRDefault="00E13C27" w:rsidP="00E13C27">
      <w:pPr>
        <w:rPr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משה גפני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יעקב אשר</w:t>
      </w:r>
      <w:bookmarkEnd w:id="3"/>
    </w:p>
    <w:p w14:paraId="34DB4103" w14:textId="77777777" w:rsidR="00904591" w:rsidRPr="00904591" w:rsidRDefault="00266D86" w:rsidP="0036422C">
      <w:pPr>
        <w:pStyle w:val="David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4AEB6CCD" w:rsidR="00E13C27" w:rsidRPr="00E06736" w:rsidRDefault="00904591" w:rsidP="00AA0248">
      <w:pPr>
        <w:pStyle w:val="David"/>
        <w:spacing w:line="240" w:lineRule="auto"/>
        <w:ind w:left="3544"/>
        <w:rPr>
          <w:rtl/>
        </w:rPr>
      </w:pPr>
      <w:r>
        <w:t xml:space="preserve"> </w:t>
      </w:r>
      <w:bookmarkStart w:id="4" w:name="Private_Number"/>
      <w:r w:rsidR="00AA0248">
        <w:rPr>
          <w:rtl/>
        </w:rPr>
        <w:tab/>
      </w:r>
      <w:r w:rsidR="00AA0248">
        <w:rPr>
          <w:rtl/>
        </w:rPr>
        <w:tab/>
      </w:r>
      <w:r w:rsidR="00AA0248">
        <w:rPr>
          <w:rtl/>
        </w:rPr>
        <w:tab/>
      </w:r>
      <w:r w:rsidR="00AA0248">
        <w:rPr>
          <w:rtl/>
        </w:rPr>
        <w:tab/>
      </w:r>
      <w:r>
        <w:rPr>
          <w:rFonts w:hint="cs"/>
          <w:rtl/>
        </w:rPr>
        <w:t>פ/1273/23</w:t>
      </w:r>
      <w:bookmarkEnd w:id="4"/>
    </w:p>
    <w:p w14:paraId="7F6961AC" w14:textId="77777777" w:rsidR="00E13C27" w:rsidRDefault="00E13C27" w:rsidP="00E13C27">
      <w:pPr>
        <w:ind w:left="2880" w:firstLine="720"/>
        <w:rPr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5" w:name="LGS_Subject"/>
      <w:r>
        <w:rPr>
          <w:rFonts w:hint="cs"/>
          <w:rtl/>
        </w:rPr>
        <w:t>הצעת חוק לתיקון פקודת בריאות העם (הוספת מגנזיום למי השתייה), התש"ף–2020</w:t>
      </w:r>
      <w:bookmarkEnd w:id="5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473E38" w:rsidRPr="00C34DE2" w14:paraId="5544A182" w14:textId="77777777" w:rsidTr="00AA0248">
        <w:trPr>
          <w:cantSplit/>
        </w:trPr>
        <w:tc>
          <w:tcPr>
            <w:tcW w:w="1871" w:type="dxa"/>
          </w:tcPr>
          <w:p w14:paraId="7823FEC8" w14:textId="77777777" w:rsidR="00473E38" w:rsidRDefault="00473E38" w:rsidP="00B1564D">
            <w:pPr>
              <w:pStyle w:val="TableSideHeading"/>
              <w:bidi w:val="0"/>
              <w:spacing w:line="240" w:lineRule="auto"/>
              <w:jc w:val="right"/>
            </w:pPr>
            <w:r w:rsidRPr="00316247">
              <w:rPr>
                <w:sz w:val="26"/>
                <w:rtl/>
              </w:rPr>
              <w:t xml:space="preserve">תיקון </w:t>
            </w:r>
            <w:r>
              <w:rPr>
                <w:rFonts w:hint="cs"/>
                <w:sz w:val="26"/>
                <w:rtl/>
              </w:rPr>
              <w:t>סעיף 52ב</w:t>
            </w:r>
            <w:r>
              <w:t xml:space="preserve"> </w:t>
            </w:r>
          </w:p>
        </w:tc>
        <w:tc>
          <w:tcPr>
            <w:tcW w:w="624" w:type="dxa"/>
          </w:tcPr>
          <w:p w14:paraId="17F2290F" w14:textId="77777777" w:rsidR="00473E38" w:rsidRDefault="00473E38" w:rsidP="00B1564D">
            <w:pPr>
              <w:pStyle w:val="TableText"/>
              <w:keepLines w:val="0"/>
              <w:numPr>
                <w:ilvl w:val="0"/>
                <w:numId w:val="12"/>
              </w:numPr>
            </w:pPr>
          </w:p>
        </w:tc>
        <w:tc>
          <w:tcPr>
            <w:tcW w:w="7143" w:type="dxa"/>
          </w:tcPr>
          <w:p w14:paraId="401DE0C4" w14:textId="77777777" w:rsidR="00473E38" w:rsidRPr="00C34DE2" w:rsidRDefault="00473E38" w:rsidP="00AA0248">
            <w:pPr>
              <w:pStyle w:val="TableBlock"/>
            </w:pPr>
            <w:r w:rsidRPr="00316247">
              <w:rPr>
                <w:rtl/>
              </w:rPr>
              <w:t>ב</w:t>
            </w:r>
            <w:r w:rsidRPr="00316247">
              <w:rPr>
                <w:rFonts w:hint="cs"/>
                <w:rtl/>
              </w:rPr>
              <w:t>פקודת בריאות העם</w:t>
            </w:r>
            <w:r>
              <w:rPr>
                <w:rFonts w:hint="cs"/>
                <w:rtl/>
              </w:rPr>
              <w:t>, 1940</w:t>
            </w:r>
            <w:r w:rsidRPr="00AA0248">
              <w:rPr>
                <w:rStyle w:val="a6"/>
                <w:rFonts w:ascii="David" w:hAnsi="David"/>
                <w:sz w:val="26"/>
                <w:rtl/>
              </w:rPr>
              <w:footnoteReference w:id="2"/>
            </w:r>
            <w:r>
              <w:rPr>
                <w:rFonts w:hint="cs"/>
                <w:rtl/>
              </w:rPr>
              <w:t xml:space="preserve">, </w:t>
            </w:r>
            <w:r w:rsidRPr="00316247">
              <w:rPr>
                <w:rFonts w:hint="cs"/>
                <w:rtl/>
              </w:rPr>
              <w:t>בסעיף 52ב</w:t>
            </w:r>
            <w:r>
              <w:rPr>
                <w:rFonts w:hint="cs"/>
                <w:rtl/>
              </w:rPr>
              <w:t>(א)(1), בסופו יבוא "ובלבד שמי השתיי</w:t>
            </w:r>
            <w:r w:rsidRPr="00316247">
              <w:rPr>
                <w:rFonts w:hint="cs"/>
                <w:rtl/>
              </w:rPr>
              <w:t xml:space="preserve">ה </w:t>
            </w:r>
            <w:r>
              <w:rPr>
                <w:rFonts w:hint="cs"/>
                <w:rtl/>
              </w:rPr>
              <w:t xml:space="preserve">יכילו מגנזיום שהושב למים באופן מלאכותי בהתאם לתקן שיקבע </w:t>
            </w:r>
            <w:r w:rsidRPr="005D749C">
              <w:rPr>
                <w:rFonts w:hint="cs"/>
                <w:rtl/>
              </w:rPr>
              <w:t>שר הבריאות."</w:t>
            </w:r>
          </w:p>
        </w:tc>
      </w:tr>
    </w:tbl>
    <w:p w14:paraId="44F4DE0E" w14:textId="77777777" w:rsidR="00473E38" w:rsidRDefault="00473E38" w:rsidP="00473E38">
      <w:pPr>
        <w:pStyle w:val="HeadDivreiHesber"/>
        <w:spacing w:line="276" w:lineRule="auto"/>
        <w:rPr>
          <w:rtl/>
        </w:rPr>
      </w:pPr>
      <w:r w:rsidRPr="0027450A">
        <w:rPr>
          <w:rFonts w:hint="cs"/>
          <w:rtl/>
        </w:rPr>
        <w:t>דברי הסבר</w:t>
      </w:r>
    </w:p>
    <w:p w14:paraId="00F79329" w14:textId="0EF0700F" w:rsidR="00473E38" w:rsidRPr="00D823C4" w:rsidRDefault="00473E38" w:rsidP="00D823C4">
      <w:pPr>
        <w:pStyle w:val="Hesber"/>
        <w:rPr>
          <w:rtl/>
        </w:rPr>
      </w:pPr>
      <w:r w:rsidRPr="00D823C4">
        <w:rPr>
          <w:rtl/>
        </w:rPr>
        <w:t>משק המים בישראל נמצא בעיצומ</w:t>
      </w:r>
      <w:r w:rsidRPr="00D823C4">
        <w:rPr>
          <w:rFonts w:hint="cs"/>
          <w:rtl/>
        </w:rPr>
        <w:t>ה</w:t>
      </w:r>
      <w:r w:rsidRPr="00D823C4">
        <w:rPr>
          <w:rtl/>
        </w:rPr>
        <w:t xml:space="preserve"> של מהפכה </w:t>
      </w:r>
      <w:r w:rsidRPr="00D823C4">
        <w:rPr>
          <w:rFonts w:hint="cs"/>
          <w:rtl/>
        </w:rPr>
        <w:t xml:space="preserve">שבשיאה </w:t>
      </w:r>
      <w:r w:rsidRPr="00D823C4">
        <w:rPr>
          <w:rtl/>
        </w:rPr>
        <w:t>יסופקו כ-60% מתצרוכת המים בישראל באמצעות התפלה.</w:t>
      </w:r>
      <w:r w:rsidRPr="00D823C4">
        <w:rPr>
          <w:rFonts w:hint="cs"/>
          <w:rtl/>
        </w:rPr>
        <w:t xml:space="preserve"> </w:t>
      </w:r>
      <w:r w:rsidRPr="00D823C4">
        <w:rPr>
          <w:rtl/>
        </w:rPr>
        <w:t xml:space="preserve">המים אשר יסופקו </w:t>
      </w:r>
      <w:r w:rsidRPr="00D823C4">
        <w:rPr>
          <w:rFonts w:hint="cs"/>
          <w:rtl/>
        </w:rPr>
        <w:t>באמצעות</w:t>
      </w:r>
      <w:r w:rsidRPr="00D823C4">
        <w:rPr>
          <w:rtl/>
        </w:rPr>
        <w:t xml:space="preserve"> מערכת ההתפלה הם נטולי מגנזיום, אשר חיוני לבריאות </w:t>
      </w:r>
      <w:r w:rsidRPr="00D823C4">
        <w:rPr>
          <w:rFonts w:hint="cs"/>
          <w:rtl/>
        </w:rPr>
        <w:t>האדם</w:t>
      </w:r>
      <w:r w:rsidR="007247C9" w:rsidRPr="00D823C4">
        <w:rPr>
          <w:rFonts w:hint="cs"/>
          <w:rtl/>
        </w:rPr>
        <w:t xml:space="preserve">. </w:t>
      </w:r>
      <w:r w:rsidRPr="00D823C4">
        <w:rPr>
          <w:rFonts w:hint="cs"/>
          <w:rtl/>
        </w:rPr>
        <w:t xml:space="preserve">כיום מוערך ריכוז המגנזיום במי השתייה בכ-25 מ"ג לליטר. </w:t>
      </w:r>
      <w:r w:rsidRPr="00D823C4">
        <w:rPr>
          <w:rtl/>
        </w:rPr>
        <w:t>היעדר</w:t>
      </w:r>
      <w:r w:rsidR="007247C9" w:rsidRPr="00D823C4">
        <w:rPr>
          <w:rtl/>
        </w:rPr>
        <w:t xml:space="preserve"> מגנזיום במים, עלול לגרו</w:t>
      </w:r>
      <w:r w:rsidR="007247C9" w:rsidRPr="00D823C4">
        <w:rPr>
          <w:rFonts w:hint="cs"/>
          <w:rtl/>
        </w:rPr>
        <w:t>ם</w:t>
      </w:r>
      <w:r w:rsidR="007247C9" w:rsidRPr="00D823C4">
        <w:rPr>
          <w:rtl/>
        </w:rPr>
        <w:t xml:space="preserve"> לעלי</w:t>
      </w:r>
      <w:r w:rsidR="007247C9" w:rsidRPr="00D823C4">
        <w:rPr>
          <w:rFonts w:hint="cs"/>
          <w:rtl/>
        </w:rPr>
        <w:t>י</w:t>
      </w:r>
      <w:r w:rsidR="007247C9" w:rsidRPr="00D823C4">
        <w:rPr>
          <w:rtl/>
        </w:rPr>
        <w:t xml:space="preserve">ה בתחלואת הציבור הרחב, </w:t>
      </w:r>
      <w:r w:rsidR="007247C9" w:rsidRPr="00D823C4">
        <w:rPr>
          <w:rFonts w:hint="cs"/>
          <w:rtl/>
        </w:rPr>
        <w:t xml:space="preserve">לרבות </w:t>
      </w:r>
      <w:r w:rsidRPr="00D823C4">
        <w:rPr>
          <w:rtl/>
        </w:rPr>
        <w:t xml:space="preserve">תחלואת הלב, כלי דם, כליות ולחץ דם גבוה, </w:t>
      </w:r>
      <w:r w:rsidR="007247C9" w:rsidRPr="00D823C4">
        <w:rPr>
          <w:rFonts w:hint="cs"/>
          <w:rtl/>
        </w:rPr>
        <w:t>ובעקבות זאת</w:t>
      </w:r>
      <w:r w:rsidR="00D823C4">
        <w:rPr>
          <w:rFonts w:hint="cs"/>
          <w:rtl/>
        </w:rPr>
        <w:t>,</w:t>
      </w:r>
      <w:r w:rsidR="007247C9" w:rsidRPr="00D823C4">
        <w:rPr>
          <w:rFonts w:hint="cs"/>
          <w:rtl/>
        </w:rPr>
        <w:t xml:space="preserve"> </w:t>
      </w:r>
      <w:r w:rsidRPr="00D823C4">
        <w:rPr>
          <w:rFonts w:hint="cs"/>
          <w:rtl/>
        </w:rPr>
        <w:t>א</w:t>
      </w:r>
      <w:r w:rsidR="007247C9" w:rsidRPr="00D823C4">
        <w:rPr>
          <w:rFonts w:hint="cs"/>
          <w:rtl/>
        </w:rPr>
        <w:t>ו</w:t>
      </w:r>
      <w:r w:rsidRPr="00D823C4">
        <w:rPr>
          <w:rFonts w:hint="cs"/>
          <w:rtl/>
        </w:rPr>
        <w:t>בדן</w:t>
      </w:r>
      <w:r w:rsidRPr="00D823C4">
        <w:rPr>
          <w:rtl/>
        </w:rPr>
        <w:t xml:space="preserve"> ימי עבודה רבים והפסד כלכלי גדול למשק הישראלי.</w:t>
      </w:r>
      <w:r w:rsidRPr="00D823C4">
        <w:rPr>
          <w:rFonts w:hint="cs"/>
          <w:rtl/>
        </w:rPr>
        <w:t xml:space="preserve"> </w:t>
      </w:r>
    </w:p>
    <w:p w14:paraId="34D537BB" w14:textId="3D307FFF" w:rsidR="00473E38" w:rsidRPr="00D823C4" w:rsidRDefault="00473E38" w:rsidP="00D823C4">
      <w:pPr>
        <w:pStyle w:val="Hesber"/>
        <w:rPr>
          <w:rtl/>
        </w:rPr>
      </w:pPr>
      <w:r w:rsidRPr="00D823C4">
        <w:rPr>
          <w:rFonts w:hint="cs"/>
          <w:rtl/>
        </w:rPr>
        <w:t>יכולת הספיגה של המ</w:t>
      </w:r>
      <w:r w:rsidR="00D823C4">
        <w:rPr>
          <w:rFonts w:hint="cs"/>
          <w:rtl/>
        </w:rPr>
        <w:t>גנזיום בגוף ממי שתייה טובה יותר</w:t>
      </w:r>
      <w:r w:rsidRPr="00D823C4">
        <w:rPr>
          <w:rFonts w:hint="cs"/>
          <w:rtl/>
        </w:rPr>
        <w:t xml:space="preserve"> מ</w:t>
      </w:r>
      <w:r w:rsidR="00D823C4">
        <w:rPr>
          <w:rFonts w:hint="cs"/>
          <w:rtl/>
        </w:rPr>
        <w:t>אשר ספיגה מ</w:t>
      </w:r>
      <w:r w:rsidRPr="00D823C4">
        <w:rPr>
          <w:rFonts w:hint="cs"/>
          <w:rtl/>
        </w:rPr>
        <w:t>מזון או תוספי מזון. ניתן  למצוא בבתי המרקחת תוספי מזון עשירים במגנזיום אך עלותם גבוהה ועל כן הם אינם זמינים לאוכלוסייה החלש</w:t>
      </w:r>
      <w:r w:rsidR="00D823C4">
        <w:rPr>
          <w:rFonts w:hint="cs"/>
          <w:rtl/>
        </w:rPr>
        <w:t xml:space="preserve">ה; </w:t>
      </w:r>
      <w:r w:rsidRPr="00D823C4">
        <w:rPr>
          <w:rFonts w:hint="cs"/>
          <w:rtl/>
        </w:rPr>
        <w:t>גם העברת אוכלוסייה שלמה לדיאטה עשירה בעלים ירוקים, אגוזים ושקדים היא קשה עד בלתי אפשרית. ברור שמקור המגנזיום הזמין והזול ביותר לאוכ</w:t>
      </w:r>
      <w:r w:rsidR="00D823C4">
        <w:rPr>
          <w:rFonts w:hint="cs"/>
          <w:rtl/>
        </w:rPr>
        <w:t xml:space="preserve">לוסייה בישראל הוא מי השתייה וכי </w:t>
      </w:r>
      <w:r w:rsidRPr="00D823C4">
        <w:rPr>
          <w:rFonts w:hint="cs"/>
          <w:rtl/>
        </w:rPr>
        <w:t>לא ניתן לצפות מהציבור לשנות הרגלי תזונה או רכישת תוספי מזון.</w:t>
      </w:r>
    </w:p>
    <w:p w14:paraId="72C7BE60" w14:textId="71BBDC94" w:rsidR="00473E38" w:rsidRPr="00D823C4" w:rsidRDefault="00473E38" w:rsidP="00D823C4">
      <w:pPr>
        <w:pStyle w:val="Hesber"/>
        <w:rPr>
          <w:rtl/>
        </w:rPr>
      </w:pPr>
      <w:r w:rsidRPr="00D823C4">
        <w:rPr>
          <w:rtl/>
        </w:rPr>
        <w:t>כמו כן</w:t>
      </w:r>
      <w:r w:rsidRPr="00D823C4">
        <w:rPr>
          <w:rFonts w:hint="cs"/>
          <w:rtl/>
        </w:rPr>
        <w:t>,</w:t>
      </w:r>
      <w:r w:rsidRPr="00D823C4">
        <w:rPr>
          <w:rtl/>
        </w:rPr>
        <w:t xml:space="preserve"> אספקת מי השתייה </w:t>
      </w:r>
      <w:r w:rsidR="00D823C4">
        <w:rPr>
          <w:rtl/>
        </w:rPr>
        <w:t>מותפלים נטולי מגנזיום</w:t>
      </w:r>
      <w:r w:rsidRPr="00D823C4">
        <w:rPr>
          <w:rtl/>
        </w:rPr>
        <w:t xml:space="preserve"> </w:t>
      </w:r>
      <w:r w:rsidRPr="00D823C4">
        <w:rPr>
          <w:rFonts w:hint="cs"/>
          <w:rtl/>
        </w:rPr>
        <w:t>ל</w:t>
      </w:r>
      <w:r w:rsidRPr="00D823C4">
        <w:rPr>
          <w:rtl/>
        </w:rPr>
        <w:t>חקלאי</w:t>
      </w:r>
      <w:r w:rsidR="00D823C4">
        <w:rPr>
          <w:rFonts w:hint="cs"/>
          <w:rtl/>
        </w:rPr>
        <w:t>ם</w:t>
      </w:r>
      <w:r w:rsidRPr="00D823C4">
        <w:rPr>
          <w:rtl/>
        </w:rPr>
        <w:t xml:space="preserve"> תגרום למחסור במגנזיום בגידולים</w:t>
      </w:r>
      <w:r w:rsidR="00D823C4">
        <w:rPr>
          <w:rFonts w:hint="cs"/>
          <w:rtl/>
        </w:rPr>
        <w:t>, אשר יטופל</w:t>
      </w:r>
      <w:r w:rsidRPr="00D823C4">
        <w:rPr>
          <w:rtl/>
        </w:rPr>
        <w:t xml:space="preserve"> באמצעות ד</w:t>
      </w:r>
      <w:r w:rsidR="00D823C4">
        <w:rPr>
          <w:rtl/>
        </w:rPr>
        <w:t>ישון, דבר שייקר את עלות הגידול</w:t>
      </w:r>
      <w:r w:rsidR="002D65C2">
        <w:rPr>
          <w:rFonts w:hint="cs"/>
          <w:rtl/>
        </w:rPr>
        <w:t>,</w:t>
      </w:r>
      <w:r w:rsidR="00D823C4">
        <w:rPr>
          <w:rtl/>
        </w:rPr>
        <w:t xml:space="preserve"> </w:t>
      </w:r>
      <w:r w:rsidR="00D823C4">
        <w:rPr>
          <w:rFonts w:hint="cs"/>
          <w:rtl/>
        </w:rPr>
        <w:t>ו</w:t>
      </w:r>
      <w:r w:rsidR="00D823C4">
        <w:rPr>
          <w:rtl/>
        </w:rPr>
        <w:t>י</w:t>
      </w:r>
      <w:r w:rsidR="00D823C4">
        <w:rPr>
          <w:rFonts w:hint="cs"/>
          <w:rtl/>
        </w:rPr>
        <w:t>שפיע</w:t>
      </w:r>
      <w:r w:rsidR="00D823C4">
        <w:rPr>
          <w:rtl/>
        </w:rPr>
        <w:t xml:space="preserve"> בסופו של דבר </w:t>
      </w:r>
      <w:r w:rsidR="00D823C4">
        <w:rPr>
          <w:rFonts w:hint="cs"/>
          <w:rtl/>
        </w:rPr>
        <w:t xml:space="preserve">על </w:t>
      </w:r>
      <w:r w:rsidR="00D823C4">
        <w:rPr>
          <w:rtl/>
        </w:rPr>
        <w:t>מחיר התוצרת החקלאית לצרכן</w:t>
      </w:r>
      <w:r w:rsidRPr="00D823C4">
        <w:rPr>
          <w:rtl/>
        </w:rPr>
        <w:t>.</w:t>
      </w:r>
      <w:r w:rsidRPr="00D823C4">
        <w:rPr>
          <w:rFonts w:hint="cs"/>
          <w:rtl/>
        </w:rPr>
        <w:t xml:space="preserve"> כיום קיימת הטכנולוגיה הדרושה להשבת מגנזיום למים המותפלים. </w:t>
      </w:r>
    </w:p>
    <w:p w14:paraId="73DF4C1D" w14:textId="50D50CC5" w:rsidR="00473E38" w:rsidRPr="00D823C4" w:rsidRDefault="00473E38" w:rsidP="002D65C2">
      <w:pPr>
        <w:pStyle w:val="Hesber"/>
        <w:rPr>
          <w:rtl/>
        </w:rPr>
      </w:pPr>
      <w:r w:rsidRPr="00D823C4">
        <w:rPr>
          <w:rFonts w:hint="cs"/>
          <w:rtl/>
        </w:rPr>
        <w:t>מוצע בזאת לחייב השבת מגנזיום למים המותפלים ולהסמיך את שר הבריאות לקבוע את התקן להשבת המגנזיום למים המ</w:t>
      </w:r>
      <w:r w:rsidR="002D65C2">
        <w:rPr>
          <w:rFonts w:hint="cs"/>
          <w:rtl/>
        </w:rPr>
        <w:t>ותפלים באופן שבריאות הציבור וה</w:t>
      </w:r>
      <w:r w:rsidRPr="00D823C4">
        <w:rPr>
          <w:rFonts w:hint="cs"/>
          <w:rtl/>
        </w:rPr>
        <w:t>חקלאות לא ייפגעו.</w:t>
      </w:r>
    </w:p>
    <w:p w14:paraId="5877F808" w14:textId="16AA6B8B" w:rsidR="00473E38" w:rsidRDefault="00473E38" w:rsidP="00776AD3">
      <w:pPr>
        <w:pStyle w:val="Hesber"/>
        <w:rPr>
          <w:rtl/>
        </w:rPr>
      </w:pPr>
      <w:r w:rsidRPr="00D823C4">
        <w:rPr>
          <w:rFonts w:hint="cs"/>
          <w:rtl/>
        </w:rPr>
        <w:t xml:space="preserve">הצעות חוק זהות הונחו על שולחן הכנסת השמונה-עשרה </w:t>
      </w:r>
      <w:r w:rsidRPr="00D823C4">
        <w:rPr>
          <w:rtl/>
        </w:rPr>
        <w:t xml:space="preserve">על ידי חבר הכנסת אורי אריאל </w:t>
      </w:r>
      <w:r w:rsidRPr="00D823C4">
        <w:rPr>
          <w:rFonts w:hint="cs"/>
          <w:rtl/>
        </w:rPr>
        <w:t xml:space="preserve">וקבוצת </w:t>
      </w:r>
      <w:r w:rsidRPr="00D823C4">
        <w:rPr>
          <w:rFonts w:hint="cs"/>
          <w:rtl/>
        </w:rPr>
        <w:lastRenderedPageBreak/>
        <w:t xml:space="preserve">חברי הכנסת </w:t>
      </w:r>
      <w:r w:rsidRPr="00D823C4">
        <w:rPr>
          <w:rtl/>
        </w:rPr>
        <w:t>(פ/4216/18)</w:t>
      </w:r>
      <w:r w:rsidRPr="00D823C4">
        <w:rPr>
          <w:rFonts w:hint="cs"/>
          <w:rtl/>
        </w:rPr>
        <w:t xml:space="preserve"> ועל ידי חבר הכנסת אורי מקלב וקבוצת חברי הכנסת (פ/4298/18), על שולחן הכנסת התשע-עשרה על ידי חבר הכנסת אורי מקלב וקבוצת חברי הכנסת (פ/1692/19)</w:t>
      </w:r>
      <w:r w:rsidR="00086024">
        <w:rPr>
          <w:rFonts w:hint="cs"/>
          <w:rtl/>
        </w:rPr>
        <w:t xml:space="preserve">, </w:t>
      </w:r>
      <w:r w:rsidRPr="00D823C4">
        <w:rPr>
          <w:rFonts w:hint="cs"/>
          <w:rtl/>
        </w:rPr>
        <w:t>על שולחן הכנסת העשרים על ידי חבר</w:t>
      </w:r>
      <w:r w:rsidR="002D65C2">
        <w:rPr>
          <w:rFonts w:hint="cs"/>
          <w:rtl/>
        </w:rPr>
        <w:t>י</w:t>
      </w:r>
      <w:r w:rsidRPr="00D823C4">
        <w:rPr>
          <w:rFonts w:hint="cs"/>
          <w:rtl/>
        </w:rPr>
        <w:t xml:space="preserve"> הכנסת אורי מקלב ומשה גפני (פ/883/20)</w:t>
      </w:r>
      <w:r w:rsidR="00722180">
        <w:rPr>
          <w:rFonts w:hint="cs"/>
          <w:rtl/>
        </w:rPr>
        <w:t xml:space="preserve"> ועל שולחן הכנסת העשרים ושתיים על ידי חבר הכנסת אורי מקלב וקבוצת חברי הכנסת (פ/830/22)</w:t>
      </w:r>
      <w:r w:rsidR="00801BEB">
        <w:rPr>
          <w:rFonts w:hint="cs"/>
          <w:rtl/>
        </w:rPr>
        <w:t>.</w:t>
      </w:r>
    </w:p>
    <w:p w14:paraId="37CBE6B1" w14:textId="77777777" w:rsidR="00AA0248" w:rsidRDefault="00AA0248" w:rsidP="00776AD3">
      <w:pPr>
        <w:pStyle w:val="Hesber"/>
        <w:rPr>
          <w:rtl/>
        </w:rPr>
      </w:pPr>
    </w:p>
    <w:p w14:paraId="4254CEF3" w14:textId="77777777" w:rsidR="00AA0248" w:rsidRPr="00D73212" w:rsidRDefault="00AA0248" w:rsidP="00AA0248">
      <w:pPr>
        <w:pStyle w:val="Hesber"/>
        <w:ind w:firstLine="0"/>
        <w:rPr>
          <w:rtl/>
        </w:rPr>
      </w:pPr>
      <w:r w:rsidRPr="00D73212">
        <w:rPr>
          <w:rtl/>
        </w:rPr>
        <w:t>---------------------------------</w:t>
      </w:r>
    </w:p>
    <w:p w14:paraId="4A9412FF" w14:textId="77777777" w:rsidR="00AA0248" w:rsidRPr="0051670D" w:rsidRDefault="00AA0248" w:rsidP="00AA0248">
      <w:pPr>
        <w:pStyle w:val="Hesber"/>
        <w:ind w:firstLine="0"/>
        <w:rPr>
          <w:sz w:val="26"/>
          <w:rtl/>
        </w:rPr>
      </w:pPr>
      <w:r w:rsidRPr="0051670D">
        <w:rPr>
          <w:rFonts w:hint="cs"/>
          <w:sz w:val="26"/>
          <w:rtl/>
        </w:rPr>
        <w:t>הוגשה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ליו</w:t>
      </w:r>
      <w:r w:rsidRPr="0051670D">
        <w:rPr>
          <w:sz w:val="26"/>
          <w:rtl/>
        </w:rPr>
        <w:t>"</w:t>
      </w:r>
      <w:r w:rsidRPr="0051670D">
        <w:rPr>
          <w:rFonts w:hint="cs"/>
          <w:sz w:val="26"/>
          <w:rtl/>
        </w:rPr>
        <w:t>ר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הכנסת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והסגנים</w:t>
      </w:r>
    </w:p>
    <w:p w14:paraId="2DA9AEDC" w14:textId="77777777" w:rsidR="00AA0248" w:rsidRPr="0051670D" w:rsidRDefault="00AA0248" w:rsidP="00AA0248">
      <w:pPr>
        <w:pStyle w:val="Hesber"/>
        <w:ind w:firstLine="0"/>
        <w:rPr>
          <w:sz w:val="26"/>
          <w:rtl/>
        </w:rPr>
      </w:pPr>
      <w:r w:rsidRPr="0051670D">
        <w:rPr>
          <w:rFonts w:hint="cs"/>
          <w:sz w:val="26"/>
          <w:rtl/>
        </w:rPr>
        <w:t>והונחה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על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שולחן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הכנסת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ביום</w:t>
      </w:r>
    </w:p>
    <w:p w14:paraId="61A5E8D0" w14:textId="77777777" w:rsidR="00AA0248" w:rsidRPr="0051670D" w:rsidRDefault="00AA0248" w:rsidP="00AA0248">
      <w:pPr>
        <w:pStyle w:val="Hesber"/>
        <w:ind w:firstLine="0"/>
        <w:rPr>
          <w:sz w:val="26"/>
          <w:rtl/>
        </w:rPr>
      </w:pPr>
      <w:r>
        <w:rPr>
          <w:rFonts w:hint="cs"/>
          <w:rtl/>
        </w:rPr>
        <w:t>ל'</w:t>
      </w:r>
      <w:r w:rsidRPr="0051670D">
        <w:rPr>
          <w:rFonts w:hint="cs"/>
          <w:sz w:val="26"/>
          <w:rtl/>
        </w:rPr>
        <w:t xml:space="preserve"> בסיוון התש"ף </w:t>
      </w:r>
      <w:r w:rsidRPr="0051670D">
        <w:rPr>
          <w:sz w:val="26"/>
          <w:rtl/>
        </w:rPr>
        <w:t>–</w:t>
      </w:r>
      <w:r w:rsidRPr="0051670D">
        <w:rPr>
          <w:rFonts w:hint="cs"/>
          <w:sz w:val="26"/>
          <w:rtl/>
        </w:rPr>
        <w:t xml:space="preserve"> </w:t>
      </w:r>
      <w:r>
        <w:rPr>
          <w:rFonts w:hint="cs"/>
          <w:sz w:val="26"/>
          <w:rtl/>
        </w:rPr>
        <w:t>22</w:t>
      </w:r>
      <w:r w:rsidRPr="0051670D">
        <w:rPr>
          <w:rFonts w:hint="cs"/>
          <w:sz w:val="26"/>
          <w:rtl/>
        </w:rPr>
        <w:t>.6.20</w:t>
      </w:r>
    </w:p>
    <w:p w14:paraId="245DECDE" w14:textId="77777777" w:rsidR="00AA0248" w:rsidRPr="00D823C4" w:rsidRDefault="00AA0248" w:rsidP="00776AD3">
      <w:pPr>
        <w:pStyle w:val="Hesber"/>
        <w:rPr>
          <w:rtl/>
        </w:rPr>
      </w:pPr>
      <w:bookmarkStart w:id="6" w:name="_GoBack"/>
      <w:bookmarkEnd w:id="6"/>
    </w:p>
    <w:p w14:paraId="7F6961CB" w14:textId="77777777" w:rsidR="00E13C27" w:rsidRDefault="00E13C27" w:rsidP="00E13C27">
      <w:pPr>
        <w:pStyle w:val="Hesber"/>
        <w:rPr>
          <w:rtl/>
        </w:rPr>
      </w:pPr>
    </w:p>
    <w:sectPr w:rsidR="00E13C27" w:rsidSect="00AA0248">
      <w:footerReference w:type="even" r:id="rId11"/>
      <w:footerReference w:type="default" r:id="rId12"/>
      <w:pgSz w:w="11907" w:h="16840" w:code="9"/>
      <w:pgMar w:top="1701" w:right="1134" w:bottom="1417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243F1A64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AA0248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AA0248">
      <w:pPr>
        <w:ind w:left="0"/>
      </w:pPr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0D7342B8" w14:textId="77777777" w:rsidR="00473E38" w:rsidRPr="00606FAE" w:rsidRDefault="00473E38" w:rsidP="00473E38">
      <w:pPr>
        <w:pStyle w:val="a4"/>
        <w:rPr>
          <w:rtl/>
        </w:rPr>
      </w:pPr>
      <w:r w:rsidRPr="00606FAE">
        <w:rPr>
          <w:rStyle w:val="a6"/>
        </w:rPr>
        <w:footnoteRef/>
      </w:r>
      <w:r w:rsidRPr="003878BD">
        <w:rPr>
          <w:rFonts w:hint="cs"/>
          <w:rtl/>
        </w:rPr>
        <w:t xml:space="preserve"> </w:t>
      </w:r>
      <w:r>
        <w:rPr>
          <w:rFonts w:hint="cs"/>
          <w:rtl/>
        </w:rPr>
        <w:t>ע"ר 1940, תוס' 1, עמ' (ע) 191, (א) 239.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145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DA1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907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128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AEA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60E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03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546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30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5A7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86024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D65C2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73E38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22180"/>
    <w:rsid w:val="007247C9"/>
    <w:rsid w:val="00735FE9"/>
    <w:rsid w:val="00763CAA"/>
    <w:rsid w:val="00765F66"/>
    <w:rsid w:val="00776AD3"/>
    <w:rsid w:val="0078664F"/>
    <w:rsid w:val="007A27CE"/>
    <w:rsid w:val="007C3FA6"/>
    <w:rsid w:val="007D585A"/>
    <w:rsid w:val="007D5A12"/>
    <w:rsid w:val="007E59F9"/>
    <w:rsid w:val="00801BEB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0248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42D3"/>
    <w:rsid w:val="00D17774"/>
    <w:rsid w:val="00D63620"/>
    <w:rsid w:val="00D823C4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A978422C-DBC5-4D76-A83F-2DBB1218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48"/>
    <w:pPr>
      <w:widowControl w:val="0"/>
      <w:bidi/>
      <w:spacing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0248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AA0248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AA0248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AA0248"/>
    <w:pPr>
      <w:numPr>
        <w:numId w:val="18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A0248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  <w:rsid w:val="00AA024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A0248"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AA0248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AA0248"/>
    <w:rPr>
      <w:sz w:val="36"/>
      <w:szCs w:val="52"/>
    </w:rPr>
  </w:style>
  <w:style w:type="paragraph" w:customStyle="1" w:styleId="Cover3-Haknesset">
    <w:name w:val="Cover 3-Haknesset"/>
    <w:basedOn w:val="Cover1-Reshumot"/>
    <w:rsid w:val="00AA0248"/>
    <w:rPr>
      <w:b/>
      <w:bCs/>
      <w:spacing w:val="60"/>
    </w:rPr>
  </w:style>
  <w:style w:type="paragraph" w:customStyle="1" w:styleId="Cover4-Date">
    <w:name w:val="Cover 4-Date"/>
    <w:basedOn w:val="a"/>
    <w:rsid w:val="00AA0248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AA0248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AA0248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AA0248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AA0248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AA0248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AA0248"/>
    <w:pPr>
      <w:outlineLvl w:val="2"/>
    </w:pPr>
  </w:style>
  <w:style w:type="paragraph" w:customStyle="1" w:styleId="TableBlock">
    <w:name w:val="Table Block"/>
    <w:basedOn w:val="TableText"/>
    <w:rsid w:val="00AA0248"/>
    <w:pPr>
      <w:jc w:val="both"/>
    </w:pPr>
  </w:style>
  <w:style w:type="paragraph" w:customStyle="1" w:styleId="TableHead">
    <w:name w:val="Table Head"/>
    <w:basedOn w:val="TableText"/>
    <w:rsid w:val="00AA0248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AA0248"/>
    <w:pPr>
      <w:outlineLvl w:val="9"/>
    </w:pPr>
  </w:style>
  <w:style w:type="paragraph" w:customStyle="1" w:styleId="Hesber">
    <w:name w:val="Hesber"/>
    <w:basedOn w:val="a"/>
    <w:rsid w:val="00AA0248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link w:val="a5"/>
    <w:autoRedefine/>
    <w:semiHidden/>
    <w:rsid w:val="00AA0248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6">
    <w:name w:val="footnote reference"/>
    <w:aliases w:val="Footnote Reference"/>
    <w:basedOn w:val="a0"/>
    <w:semiHidden/>
    <w:rsid w:val="00AA0248"/>
    <w:rPr>
      <w:vertAlign w:val="superscript"/>
    </w:rPr>
  </w:style>
  <w:style w:type="paragraph" w:customStyle="1" w:styleId="HesberHeading">
    <w:name w:val="Hesber Heading"/>
    <w:basedOn w:val="Hesber"/>
    <w:rsid w:val="00AA0248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AA0248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AA0248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AA0248"/>
    <w:rPr>
      <w:vertAlign w:val="superscript"/>
    </w:rPr>
  </w:style>
  <w:style w:type="paragraph" w:customStyle="1" w:styleId="TableBlockOutdent">
    <w:name w:val="Table BlockOutdent"/>
    <w:basedOn w:val="TableBlock"/>
    <w:rsid w:val="00AA0248"/>
    <w:pPr>
      <w:ind w:left="624" w:hanging="624"/>
    </w:pPr>
  </w:style>
  <w:style w:type="paragraph" w:styleId="a8">
    <w:name w:val="header"/>
    <w:basedOn w:val="a"/>
    <w:rsid w:val="00AA024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A0248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AA0248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AA0248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b">
    <w:name w:val="page number"/>
    <w:basedOn w:val="a0"/>
    <w:rsid w:val="00AA0248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semiHidden/>
    <w:rsid w:val="00473E38"/>
    <w:rPr>
      <w:rFonts w:ascii="Arial" w:eastAsia="Arial Unicode MS" w:hAnsi="Arial" w:cs="David"/>
      <w:snapToGrid w:val="0"/>
      <w:sz w:val="14"/>
    </w:rPr>
  </w:style>
  <w:style w:type="character" w:customStyle="1" w:styleId="10">
    <w:name w:val="כותרת 1 תו"/>
    <w:basedOn w:val="a0"/>
    <w:link w:val="1"/>
    <w:uiPriority w:val="9"/>
    <w:rsid w:val="00AA0248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AA0248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AA0248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AA0248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AA0248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AA0248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AA0248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AA0248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AA0248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AA0248"/>
    <w:pPr>
      <w:tabs>
        <w:tab w:val="right" w:leader="dot" w:pos="9629"/>
      </w:tabs>
      <w:spacing w:after="100"/>
      <w:ind w:left="56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AA0248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AA0248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AA0248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AA0248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AA0248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AA0248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AA0248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AA0248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AA0248"/>
    <w:rPr>
      <w:rFonts w:eastAsia="Times New Roman"/>
    </w:rPr>
  </w:style>
  <w:style w:type="paragraph" w:styleId="af">
    <w:name w:val="List Paragraph"/>
    <w:basedOn w:val="a"/>
    <w:uiPriority w:val="34"/>
    <w:qFormat/>
    <w:rsid w:val="00AA0248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AA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AA02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AA02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AA0248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AA0248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6E9C754E1F7C4C891E9EE2E0AF8150" ma:contentTypeVersion="" ma:contentTypeDescription="צור מסמך חדש." ma:contentTypeScope="" ma:versionID="b2c52f23e7867aea476dda019525fa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9961-869B-44CC-A1B4-FFE68CAE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DC5031-B37A-4632-B990-169776F5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טליה דניאלה ווייס עמר</cp:lastModifiedBy>
  <cp:revision>11</cp:revision>
  <cp:lastPrinted>2013-07-04T08:25:00Z</cp:lastPrinted>
  <dcterms:created xsi:type="dcterms:W3CDTF">2015-04-20T09:58:00Z</dcterms:created>
  <dcterms:modified xsi:type="dcterms:W3CDTF">2020-06-16T10:50:00Z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0x0101003D6E9C754E1F7C4C891E9EE2E0AF8150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2087967</vt:r8>
  </property>
</Properties>
</file>