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961A1" w14:textId="77777777" w:rsidR="002C2E29" w:rsidRPr="00E635A2" w:rsidRDefault="004033D8" w:rsidP="00E635A2">
      <w:pPr>
        <w:jc w:val="right"/>
        <w:rPr>
          <w:rFonts w:cs="David"/>
          <w:b/>
          <w:bCs/>
          <w:sz w:val="20"/>
          <w:szCs w:val="20"/>
        </w:rPr>
      </w:pPr>
      <w:r w:rsidRPr="00E635A2">
        <w:rPr>
          <w:rFonts w:cs="David" w:hint="cs"/>
          <w:sz w:val="20"/>
          <w:szCs w:val="20"/>
          <w:rtl/>
        </w:rPr>
        <w:t xml:space="preserve">מספר פנימי: </w:t>
      </w:r>
      <w:bookmarkStart w:id="0" w:name="LGS_Internal_ID"/>
      <w:r>
        <w:rPr>
          <w:rFonts w:cs="David" w:hint="cs"/>
          <w:sz w:val="20"/>
          <w:szCs w:val="20"/>
          <w:rtl/>
        </w:rPr>
        <w:t>2086234</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ושלוש</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יוזמת:</w:t>
      </w:r>
      <w:r>
        <w:tab/>
      </w:r>
      <w:r>
        <w:rPr>
          <w:b/>
          <w:bCs/>
          <w:rtl/>
        </w:rPr>
        <w:t xml:space="preserve">      חברת הכנסת</w:t>
      </w:r>
      <w:bookmarkEnd w:id="2"/>
      <w:r w:rsidR="00B35784" w:rsidRPr="00F67051">
        <w:rPr>
          <w:b/>
          <w:bCs/>
        </w:rPr>
        <w:tab/>
      </w:r>
      <w:bookmarkStart w:id="3" w:name="LGS_PM_Names"/>
      <w:r>
        <w:rPr>
          <w:rFonts w:hint="cs"/>
          <w:b/>
          <w:bCs/>
          <w:rtl/>
        </w:rPr>
        <w:t xml:space="preserve">אורלי לוי </w:t>
      </w:r>
      <w:proofErr w:type="spellStart"/>
      <w:r>
        <w:rPr>
          <w:rFonts w:hint="cs"/>
          <w:b/>
          <w:bCs/>
          <w:rtl/>
        </w:rPr>
        <w:t>אבקסיס</w:t>
      </w:r>
      <w:bookmarkEnd w:id="3"/>
      <w:proofErr w:type="spellEnd"/>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530C5A58" w:rsidR="00E13C27" w:rsidRPr="00E06736" w:rsidRDefault="00904591" w:rsidP="00BF2E43">
      <w:pPr>
        <w:pStyle w:val="David"/>
        <w:spacing w:before="0" w:line="240" w:lineRule="auto"/>
        <w:ind w:left="6424" w:firstLine="56"/>
        <w:rPr>
          <w:rtl/>
        </w:rPr>
      </w:pPr>
      <w:bookmarkStart w:id="4" w:name="Private_Number"/>
      <w:r>
        <w:rPr>
          <w:rFonts w:hint="cs"/>
          <w:rtl/>
        </w:rPr>
        <w:t>פ/641/23</w:t>
      </w:r>
      <w:bookmarkEnd w:id="4"/>
    </w:p>
    <w:p w14:paraId="7F6961AC" w14:textId="77777777" w:rsidR="00E13C27" w:rsidRDefault="00E13C27" w:rsidP="00E13C27">
      <w:pPr>
        <w:spacing w:before="0" w:line="360" w:lineRule="auto"/>
        <w:ind w:left="2880" w:firstLine="720"/>
        <w:rPr>
          <w:rFonts w:cs="David"/>
          <w:sz w:val="26"/>
          <w:szCs w:val="26"/>
          <w:rtl/>
        </w:rPr>
      </w:pPr>
    </w:p>
    <w:p w14:paraId="08A32601" w14:textId="77777777" w:rsidR="00BF2E43" w:rsidRDefault="00A443CF" w:rsidP="00BF2E43">
      <w:pPr>
        <w:pStyle w:val="HeadHatzaotHok"/>
        <w:spacing w:line="240" w:lineRule="auto"/>
        <w:rPr>
          <w:rtl/>
        </w:rPr>
      </w:pPr>
      <w:bookmarkStart w:id="5" w:name="LGS_Subject"/>
      <w:r>
        <w:rPr>
          <w:rFonts w:hint="cs"/>
          <w:rtl/>
        </w:rPr>
        <w:t xml:space="preserve">הצעת חוק פיקוח על מחירי מצרכים ושירותים (תיקון – הגבלת מרווחי שיווק על ירקות), </w:t>
      </w:r>
    </w:p>
    <w:p w14:paraId="7F6961AD" w14:textId="75F5976D" w:rsidR="00E13C27" w:rsidRPr="00F67051" w:rsidRDefault="00A443CF" w:rsidP="00BF2E43">
      <w:pPr>
        <w:pStyle w:val="HeadHatzaotHok"/>
        <w:spacing w:line="240" w:lineRule="auto"/>
        <w:rPr>
          <w:rtl/>
        </w:rPr>
      </w:pPr>
      <w:proofErr w:type="spellStart"/>
      <w:r>
        <w:rPr>
          <w:rFonts w:hint="cs"/>
          <w:rtl/>
        </w:rPr>
        <w:t>התש"ף</w:t>
      </w:r>
      <w:proofErr w:type="spellEnd"/>
      <w:r>
        <w:rPr>
          <w:rFonts w:hint="cs"/>
          <w:rtl/>
        </w:rPr>
        <w:t>–2020</w:t>
      </w:r>
      <w:bookmarkEnd w:id="5"/>
    </w:p>
    <w:p w14:paraId="7F6961AE" w14:textId="77777777" w:rsidR="00E13C27" w:rsidRDefault="00E13C27" w:rsidP="0021633A">
      <w:pPr>
        <w:pStyle w:val="HeadDivreiHesber"/>
        <w:spacing w:before="0" w:after="0"/>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4650"/>
      </w:tblGrid>
      <w:tr w:rsidR="0070609A" w:rsidRPr="00E74409" w14:paraId="2BA85C53" w14:textId="77777777" w:rsidTr="00FD38F4">
        <w:trPr>
          <w:cantSplit/>
        </w:trPr>
        <w:tc>
          <w:tcPr>
            <w:tcW w:w="1871" w:type="dxa"/>
          </w:tcPr>
          <w:p w14:paraId="052883AF" w14:textId="77777777" w:rsidR="0070609A" w:rsidRPr="001D72B6" w:rsidRDefault="0070609A" w:rsidP="00FD38F4">
            <w:pPr>
              <w:pStyle w:val="TableSideHeading"/>
              <w:ind w:right="0"/>
            </w:pPr>
            <w:r>
              <w:rPr>
                <w:rFonts w:hint="cs"/>
                <w:rtl/>
              </w:rPr>
              <w:t>תיקון סעיף 11</w:t>
            </w:r>
          </w:p>
        </w:tc>
        <w:tc>
          <w:tcPr>
            <w:tcW w:w="624" w:type="dxa"/>
          </w:tcPr>
          <w:p w14:paraId="7E507D14" w14:textId="77777777" w:rsidR="0070609A" w:rsidRPr="00E74409" w:rsidRDefault="0070609A" w:rsidP="00FD38F4">
            <w:pPr>
              <w:pStyle w:val="TableText"/>
              <w:ind w:right="0"/>
              <w:jc w:val="both"/>
            </w:pPr>
            <w:r w:rsidRPr="00E74409">
              <w:rPr>
                <w:rFonts w:hint="cs"/>
                <w:rtl/>
              </w:rPr>
              <w:t>1.</w:t>
            </w:r>
          </w:p>
        </w:tc>
        <w:tc>
          <w:tcPr>
            <w:tcW w:w="7146" w:type="dxa"/>
            <w:gridSpan w:val="5"/>
          </w:tcPr>
          <w:p w14:paraId="70DB646B" w14:textId="77777777" w:rsidR="0070609A" w:rsidRPr="00E74409" w:rsidRDefault="0070609A" w:rsidP="00FD38F4">
            <w:pPr>
              <w:pStyle w:val="TableBlock"/>
            </w:pPr>
            <w:r w:rsidRPr="00E74409">
              <w:rPr>
                <w:rFonts w:hint="cs"/>
                <w:rtl/>
              </w:rPr>
              <w:t xml:space="preserve">בחוק פיקוח על מחירי מצרכים ושירותים, </w:t>
            </w:r>
            <w:proofErr w:type="spellStart"/>
            <w:r w:rsidRPr="00E74409">
              <w:rPr>
                <w:rFonts w:hint="cs"/>
                <w:rtl/>
              </w:rPr>
              <w:t>התשנ"ו</w:t>
            </w:r>
            <w:proofErr w:type="spellEnd"/>
            <w:r>
              <w:rPr>
                <w:rFonts w:hint="cs"/>
                <w:rtl/>
              </w:rPr>
              <w:t>–</w:t>
            </w:r>
            <w:r w:rsidRPr="00E74409">
              <w:rPr>
                <w:rFonts w:hint="cs"/>
                <w:rtl/>
              </w:rPr>
              <w:t>1996</w:t>
            </w:r>
            <w:r w:rsidRPr="002171BB">
              <w:rPr>
                <w:rStyle w:val="a5"/>
                <w:rtl/>
              </w:rPr>
              <w:footnoteReference w:id="2"/>
            </w:r>
            <w:r>
              <w:rPr>
                <w:rFonts w:hint="cs"/>
                <w:rtl/>
              </w:rPr>
              <w:t xml:space="preserve"> (להלן – החוק העיקרי), בסעיף 11(א)(2), אחרי "כאמור בסעיף 12(ב)" יבוא "או 12א". </w:t>
            </w:r>
          </w:p>
        </w:tc>
      </w:tr>
      <w:tr w:rsidR="0070609A" w:rsidRPr="00E74409" w14:paraId="371ED6CC" w14:textId="77777777" w:rsidTr="00FD38F4">
        <w:trPr>
          <w:cantSplit/>
        </w:trPr>
        <w:tc>
          <w:tcPr>
            <w:tcW w:w="1871" w:type="dxa"/>
          </w:tcPr>
          <w:p w14:paraId="74EAB4F1" w14:textId="77777777" w:rsidR="0070609A" w:rsidRPr="00E74409" w:rsidRDefault="0070609A" w:rsidP="00FD38F4">
            <w:pPr>
              <w:pStyle w:val="TableSideHeading"/>
              <w:ind w:right="0"/>
              <w:rPr>
                <w:rtl/>
              </w:rPr>
            </w:pPr>
            <w:r w:rsidRPr="00E74409">
              <w:rPr>
                <w:rFonts w:hint="cs"/>
                <w:rtl/>
              </w:rPr>
              <w:t>הוספת סעיף 12</w:t>
            </w:r>
            <w:r>
              <w:rPr>
                <w:rFonts w:hint="cs"/>
                <w:rtl/>
              </w:rPr>
              <w:t>א</w:t>
            </w:r>
            <w:r>
              <w:t xml:space="preserve"> </w:t>
            </w:r>
            <w:r w:rsidRPr="001D72B6">
              <w:t xml:space="preserve"> </w:t>
            </w:r>
          </w:p>
        </w:tc>
        <w:tc>
          <w:tcPr>
            <w:tcW w:w="624" w:type="dxa"/>
          </w:tcPr>
          <w:p w14:paraId="6B2C64C1" w14:textId="77777777" w:rsidR="0070609A" w:rsidRPr="00E74409" w:rsidRDefault="0070609A" w:rsidP="00FD38F4">
            <w:pPr>
              <w:pStyle w:val="TableText"/>
              <w:rPr>
                <w:rtl/>
              </w:rPr>
            </w:pPr>
            <w:r>
              <w:rPr>
                <w:rFonts w:hint="cs"/>
                <w:rtl/>
              </w:rPr>
              <w:t>2.</w:t>
            </w:r>
          </w:p>
        </w:tc>
        <w:tc>
          <w:tcPr>
            <w:tcW w:w="7146" w:type="dxa"/>
            <w:gridSpan w:val="5"/>
          </w:tcPr>
          <w:p w14:paraId="21222CD6" w14:textId="77777777" w:rsidR="0070609A" w:rsidRPr="00E74409" w:rsidRDefault="0070609A" w:rsidP="00FD38F4">
            <w:pPr>
              <w:pStyle w:val="TableBlock"/>
              <w:rPr>
                <w:rtl/>
              </w:rPr>
            </w:pPr>
            <w:r>
              <w:rPr>
                <w:rFonts w:hint="cs"/>
                <w:rtl/>
              </w:rPr>
              <w:t>אחרי סעיף 12 לחוק העיקרי יבוא:</w:t>
            </w:r>
          </w:p>
        </w:tc>
      </w:tr>
      <w:tr w:rsidR="0070609A" w:rsidRPr="000B0474" w14:paraId="0441935A" w14:textId="77777777" w:rsidTr="00FD38F4">
        <w:trPr>
          <w:cantSplit/>
          <w:trHeight w:val="60"/>
        </w:trPr>
        <w:tc>
          <w:tcPr>
            <w:tcW w:w="1871" w:type="dxa"/>
          </w:tcPr>
          <w:p w14:paraId="35232DC5" w14:textId="77777777" w:rsidR="0070609A" w:rsidRDefault="0070609A" w:rsidP="00FD38F4">
            <w:pPr>
              <w:pStyle w:val="TableSideHeading"/>
              <w:keepLines w:val="0"/>
            </w:pPr>
          </w:p>
        </w:tc>
        <w:tc>
          <w:tcPr>
            <w:tcW w:w="624" w:type="dxa"/>
          </w:tcPr>
          <w:p w14:paraId="219FBA5B" w14:textId="77777777" w:rsidR="0070609A" w:rsidRDefault="0070609A" w:rsidP="00FD38F4">
            <w:pPr>
              <w:pStyle w:val="TableText"/>
              <w:keepLines w:val="0"/>
            </w:pPr>
          </w:p>
        </w:tc>
        <w:tc>
          <w:tcPr>
            <w:tcW w:w="1872" w:type="dxa"/>
            <w:gridSpan w:val="3"/>
          </w:tcPr>
          <w:p w14:paraId="07BCFC18" w14:textId="77777777" w:rsidR="0070609A" w:rsidRDefault="0070609A" w:rsidP="00FD38F4">
            <w:pPr>
              <w:pStyle w:val="TableInnerSideHeading"/>
            </w:pPr>
            <w:r>
              <w:rPr>
                <w:rFonts w:hint="cs"/>
                <w:rtl/>
              </w:rPr>
              <w:t>"הגבלת מרווחי שיווק על ירקות</w:t>
            </w:r>
          </w:p>
        </w:tc>
        <w:tc>
          <w:tcPr>
            <w:tcW w:w="624" w:type="dxa"/>
          </w:tcPr>
          <w:p w14:paraId="781FDFAF" w14:textId="77777777" w:rsidR="0070609A" w:rsidRPr="00E74409" w:rsidRDefault="0070609A" w:rsidP="00FD38F4">
            <w:pPr>
              <w:pStyle w:val="TableText"/>
              <w:ind w:right="0"/>
              <w:jc w:val="both"/>
            </w:pPr>
            <w:r w:rsidRPr="00E74409">
              <w:rPr>
                <w:rFonts w:hint="cs"/>
                <w:rtl/>
              </w:rPr>
              <w:t>12</w:t>
            </w:r>
            <w:r>
              <w:rPr>
                <w:rFonts w:hint="cs"/>
                <w:rtl/>
              </w:rPr>
              <w:t>א.</w:t>
            </w:r>
          </w:p>
        </w:tc>
        <w:tc>
          <w:tcPr>
            <w:tcW w:w="4650" w:type="dxa"/>
          </w:tcPr>
          <w:p w14:paraId="79D53AE6" w14:textId="6569E845" w:rsidR="0070609A" w:rsidRPr="000B0474" w:rsidRDefault="0070609A" w:rsidP="00C647F8">
            <w:pPr>
              <w:pStyle w:val="TableBlock"/>
              <w:rPr>
                <w:rtl/>
              </w:rPr>
            </w:pPr>
            <w:r w:rsidRPr="000B0474">
              <w:rPr>
                <w:rtl/>
              </w:rPr>
              <w:t>(</w:t>
            </w:r>
            <w:r>
              <w:rPr>
                <w:rFonts w:hint="cs"/>
                <w:rtl/>
              </w:rPr>
              <w:t>א</w:t>
            </w:r>
            <w:r w:rsidRPr="000B0474">
              <w:rPr>
                <w:rtl/>
              </w:rPr>
              <w:t>)</w:t>
            </w:r>
            <w:r w:rsidRPr="000B0474">
              <w:rPr>
                <w:rtl/>
              </w:rPr>
              <w:tab/>
            </w:r>
            <w:r w:rsidRPr="000B0474">
              <w:rPr>
                <w:rFonts w:hint="eastAsia"/>
                <w:rtl/>
              </w:rPr>
              <w:t>שר</w:t>
            </w:r>
            <w:r w:rsidRPr="000B0474">
              <w:rPr>
                <w:rtl/>
              </w:rPr>
              <w:t xml:space="preserve"> </w:t>
            </w:r>
            <w:r w:rsidRPr="000B0474">
              <w:rPr>
                <w:rFonts w:hint="eastAsia"/>
                <w:rtl/>
              </w:rPr>
              <w:t>החקלאות</w:t>
            </w:r>
            <w:r w:rsidRPr="000B0474">
              <w:rPr>
                <w:rtl/>
              </w:rPr>
              <w:t xml:space="preserve"> ופיתוח הכפר, באישור ועדת הכלכלה של הכנסת, יקבע </w:t>
            </w:r>
            <w:r w:rsidRPr="000B0474">
              <w:rPr>
                <w:rFonts w:hint="eastAsia"/>
                <w:rtl/>
              </w:rPr>
              <w:t>סל</w:t>
            </w:r>
            <w:r w:rsidRPr="000B0474">
              <w:rPr>
                <w:rtl/>
              </w:rPr>
              <w:t xml:space="preserve"> בסיסי של ירקות </w:t>
            </w:r>
            <w:r>
              <w:rPr>
                <w:rFonts w:hint="cs"/>
                <w:rtl/>
              </w:rPr>
              <w:t>שמחירם יה</w:t>
            </w:r>
            <w:r w:rsidR="00C647F8">
              <w:rPr>
                <w:rFonts w:hint="cs"/>
                <w:rtl/>
              </w:rPr>
              <w:t>יה</w:t>
            </w:r>
            <w:r>
              <w:rPr>
                <w:rFonts w:hint="cs"/>
                <w:rtl/>
              </w:rPr>
              <w:t xml:space="preserve"> </w:t>
            </w:r>
            <w:r w:rsidRPr="000B0474">
              <w:rPr>
                <w:rFonts w:hint="eastAsia"/>
                <w:rtl/>
              </w:rPr>
              <w:t>בפיקוח</w:t>
            </w:r>
            <w:r w:rsidRPr="000B0474">
              <w:rPr>
                <w:rtl/>
              </w:rPr>
              <w:t>.</w:t>
            </w:r>
          </w:p>
        </w:tc>
      </w:tr>
      <w:tr w:rsidR="0070609A" w:rsidRPr="00EC5C3A" w14:paraId="4372AA7A" w14:textId="77777777" w:rsidTr="00FD38F4">
        <w:trPr>
          <w:cantSplit/>
          <w:trHeight w:val="60"/>
        </w:trPr>
        <w:tc>
          <w:tcPr>
            <w:tcW w:w="1871" w:type="dxa"/>
          </w:tcPr>
          <w:p w14:paraId="62BE98AB" w14:textId="77777777" w:rsidR="0070609A" w:rsidRDefault="0070609A" w:rsidP="00FD38F4">
            <w:pPr>
              <w:pStyle w:val="TableSideHeading"/>
            </w:pPr>
          </w:p>
        </w:tc>
        <w:tc>
          <w:tcPr>
            <w:tcW w:w="624" w:type="dxa"/>
          </w:tcPr>
          <w:p w14:paraId="44F3C212" w14:textId="77777777" w:rsidR="0070609A" w:rsidRDefault="0070609A" w:rsidP="00FD38F4">
            <w:pPr>
              <w:pStyle w:val="TableText"/>
            </w:pPr>
          </w:p>
        </w:tc>
        <w:tc>
          <w:tcPr>
            <w:tcW w:w="624" w:type="dxa"/>
          </w:tcPr>
          <w:p w14:paraId="5669003C" w14:textId="77777777" w:rsidR="0070609A" w:rsidRDefault="0070609A" w:rsidP="00FD38F4">
            <w:pPr>
              <w:pStyle w:val="TableText"/>
            </w:pPr>
          </w:p>
        </w:tc>
        <w:tc>
          <w:tcPr>
            <w:tcW w:w="624" w:type="dxa"/>
          </w:tcPr>
          <w:p w14:paraId="153AD385" w14:textId="77777777" w:rsidR="0070609A" w:rsidRDefault="0070609A" w:rsidP="00FD38F4">
            <w:pPr>
              <w:pStyle w:val="TableText"/>
            </w:pPr>
          </w:p>
        </w:tc>
        <w:tc>
          <w:tcPr>
            <w:tcW w:w="624" w:type="dxa"/>
          </w:tcPr>
          <w:p w14:paraId="0CD14101" w14:textId="77777777" w:rsidR="0070609A" w:rsidRDefault="0070609A" w:rsidP="00FD38F4">
            <w:pPr>
              <w:pStyle w:val="TableText"/>
            </w:pPr>
          </w:p>
        </w:tc>
        <w:tc>
          <w:tcPr>
            <w:tcW w:w="624" w:type="dxa"/>
          </w:tcPr>
          <w:p w14:paraId="52B772DE" w14:textId="77777777" w:rsidR="0070609A" w:rsidRDefault="0070609A" w:rsidP="00FD38F4">
            <w:pPr>
              <w:pStyle w:val="TableText"/>
            </w:pPr>
          </w:p>
        </w:tc>
        <w:tc>
          <w:tcPr>
            <w:tcW w:w="4650" w:type="dxa"/>
          </w:tcPr>
          <w:p w14:paraId="62BE8EA1" w14:textId="77777777" w:rsidR="0070609A" w:rsidRPr="00EC5C3A" w:rsidRDefault="0070609A" w:rsidP="00FD38F4">
            <w:pPr>
              <w:pStyle w:val="TableBlock"/>
            </w:pPr>
            <w:r w:rsidRPr="00EC5C3A">
              <w:rPr>
                <w:rtl/>
              </w:rPr>
              <w:t>(</w:t>
            </w:r>
            <w:r w:rsidRPr="00EC5C3A">
              <w:rPr>
                <w:rFonts w:hint="eastAsia"/>
                <w:rtl/>
              </w:rPr>
              <w:t>ב</w:t>
            </w:r>
            <w:r w:rsidRPr="00EC5C3A">
              <w:rPr>
                <w:rtl/>
              </w:rPr>
              <w:t>) </w:t>
            </w:r>
            <w:r w:rsidRPr="00EC5C3A">
              <w:rPr>
                <w:rtl/>
              </w:rPr>
              <w:tab/>
            </w:r>
            <w:r w:rsidRPr="00EC5C3A">
              <w:rPr>
                <w:rFonts w:hint="eastAsia"/>
                <w:rtl/>
              </w:rPr>
              <w:t>שר</w:t>
            </w:r>
            <w:r w:rsidRPr="00EC5C3A">
              <w:rPr>
                <w:rtl/>
              </w:rPr>
              <w:t xml:space="preserve"> החקלאות ופיתוח הכפר יקבע</w:t>
            </w:r>
            <w:r>
              <w:rPr>
                <w:rFonts w:hint="cs"/>
                <w:rtl/>
              </w:rPr>
              <w:t>,</w:t>
            </w:r>
            <w:r w:rsidRPr="00EC5C3A">
              <w:rPr>
                <w:rtl/>
              </w:rPr>
              <w:t xml:space="preserve"> בצו</w:t>
            </w:r>
            <w:r>
              <w:rPr>
                <w:rFonts w:hint="cs"/>
                <w:rtl/>
              </w:rPr>
              <w:t>,</w:t>
            </w:r>
            <w:r w:rsidRPr="00EC5C3A">
              <w:rPr>
                <w:rtl/>
              </w:rPr>
              <w:t xml:space="preserve"> </w:t>
            </w:r>
            <w:r w:rsidRPr="00EC5C3A">
              <w:rPr>
                <w:rFonts w:hint="eastAsia"/>
                <w:rtl/>
              </w:rPr>
              <w:t>את</w:t>
            </w:r>
            <w:r w:rsidRPr="00EC5C3A">
              <w:rPr>
                <w:rtl/>
              </w:rPr>
              <w:t xml:space="preserve"> </w:t>
            </w:r>
            <w:r w:rsidRPr="00EC5C3A">
              <w:rPr>
                <w:rFonts w:hint="eastAsia"/>
                <w:rtl/>
              </w:rPr>
              <w:t>שיעור</w:t>
            </w:r>
            <w:r w:rsidRPr="00EC5C3A">
              <w:rPr>
                <w:rtl/>
              </w:rPr>
              <w:t xml:space="preserve"> </w:t>
            </w:r>
            <w:r w:rsidRPr="00EC5C3A">
              <w:rPr>
                <w:rFonts w:hint="eastAsia"/>
                <w:rtl/>
              </w:rPr>
              <w:t>הרווח</w:t>
            </w:r>
            <w:r w:rsidRPr="00EC5C3A">
              <w:rPr>
                <w:rtl/>
              </w:rPr>
              <w:t xml:space="preserve"> </w:t>
            </w:r>
            <w:r w:rsidRPr="00EC5C3A">
              <w:rPr>
                <w:rFonts w:hint="eastAsia"/>
                <w:rtl/>
              </w:rPr>
              <w:t>המרבי</w:t>
            </w:r>
            <w:r w:rsidRPr="00EC5C3A">
              <w:rPr>
                <w:rtl/>
              </w:rPr>
              <w:t xml:space="preserve"> </w:t>
            </w:r>
            <w:r w:rsidRPr="00EC5C3A">
              <w:rPr>
                <w:rFonts w:hint="eastAsia"/>
                <w:rtl/>
              </w:rPr>
              <w:t>שניתן</w:t>
            </w:r>
            <w:r w:rsidRPr="00EC5C3A">
              <w:rPr>
                <w:rtl/>
              </w:rPr>
              <w:t xml:space="preserve"> </w:t>
            </w:r>
            <w:r w:rsidRPr="00EC5C3A">
              <w:rPr>
                <w:rFonts w:hint="eastAsia"/>
                <w:rtl/>
              </w:rPr>
              <w:t>להפיק</w:t>
            </w:r>
            <w:r w:rsidRPr="00EC5C3A">
              <w:rPr>
                <w:rtl/>
              </w:rPr>
              <w:t xml:space="preserve"> ממכירת ירקות </w:t>
            </w:r>
            <w:r>
              <w:rPr>
                <w:rFonts w:hint="cs"/>
                <w:rtl/>
              </w:rPr>
              <w:t xml:space="preserve">הכלולים בסל הבסיסי </w:t>
            </w:r>
            <w:r w:rsidRPr="00EC5C3A">
              <w:rPr>
                <w:rFonts w:hint="eastAsia"/>
                <w:rtl/>
              </w:rPr>
              <w:t>כאמור</w:t>
            </w:r>
            <w:r w:rsidRPr="00EC5C3A">
              <w:rPr>
                <w:rtl/>
              </w:rPr>
              <w:t xml:space="preserve"> </w:t>
            </w:r>
            <w:r w:rsidRPr="00EC5C3A">
              <w:rPr>
                <w:rFonts w:hint="eastAsia"/>
                <w:rtl/>
              </w:rPr>
              <w:t>בסעיף</w:t>
            </w:r>
            <w:r w:rsidRPr="00EC5C3A">
              <w:rPr>
                <w:rtl/>
              </w:rPr>
              <w:t xml:space="preserve"> </w:t>
            </w:r>
            <w:r w:rsidRPr="00EC5C3A">
              <w:rPr>
                <w:rFonts w:hint="eastAsia"/>
                <w:rtl/>
              </w:rPr>
              <w:t>קטן</w:t>
            </w:r>
            <w:r w:rsidRPr="00EC5C3A">
              <w:rPr>
                <w:rtl/>
              </w:rPr>
              <w:t xml:space="preserve"> (א); על צו כאמור יחולו הוראות חו</w:t>
            </w:r>
            <w:r w:rsidRPr="00EC5C3A">
              <w:rPr>
                <w:rFonts w:hint="eastAsia"/>
                <w:rtl/>
              </w:rPr>
              <w:t>ק</w:t>
            </w:r>
            <w:r w:rsidRPr="00EC5C3A">
              <w:rPr>
                <w:rtl/>
              </w:rPr>
              <w:t xml:space="preserve"> זה, בשינויים </w:t>
            </w:r>
            <w:r w:rsidRPr="00EC5C3A">
              <w:rPr>
                <w:rFonts w:hint="eastAsia"/>
                <w:rtl/>
              </w:rPr>
              <w:t>המחויבים</w:t>
            </w:r>
            <w:r w:rsidRPr="00EC5C3A">
              <w:rPr>
                <w:rtl/>
              </w:rPr>
              <w:t xml:space="preserve">, כאילו נקבע בו מחיר מרבי; </w:t>
            </w:r>
            <w:r w:rsidRPr="00EC5C3A">
              <w:rPr>
                <w:rFonts w:hint="eastAsia"/>
                <w:rtl/>
              </w:rPr>
              <w:t>לענ</w:t>
            </w:r>
            <w:r>
              <w:rPr>
                <w:rFonts w:hint="cs"/>
                <w:rtl/>
              </w:rPr>
              <w:t>י</w:t>
            </w:r>
            <w:r w:rsidRPr="00EC5C3A">
              <w:rPr>
                <w:rFonts w:hint="eastAsia"/>
                <w:rtl/>
              </w:rPr>
              <w:t>ין</w:t>
            </w:r>
            <w:r w:rsidRPr="00EC5C3A">
              <w:rPr>
                <w:rtl/>
              </w:rPr>
              <w:t xml:space="preserve"> זה, "רווח" </w:t>
            </w:r>
            <w:r>
              <w:rPr>
                <w:rFonts w:hint="cs"/>
                <w:rtl/>
              </w:rPr>
              <w:t>–</w:t>
            </w:r>
            <w:r w:rsidRPr="00EC5C3A">
              <w:rPr>
                <w:rtl/>
              </w:rPr>
              <w:t xml:space="preserve"> כפי שיוגדר בצו כאמור."</w:t>
            </w:r>
          </w:p>
        </w:tc>
      </w:tr>
    </w:tbl>
    <w:p w14:paraId="7F6961CA" w14:textId="77777777" w:rsidR="002D1EE3" w:rsidRDefault="002D1EE3" w:rsidP="002D1EE3">
      <w:pPr>
        <w:pStyle w:val="HeadDivreiHesber"/>
        <w:rPr>
          <w:rtl/>
        </w:rPr>
      </w:pPr>
      <w:r w:rsidRPr="0027450A">
        <w:rPr>
          <w:rFonts w:hint="cs"/>
          <w:rtl/>
        </w:rPr>
        <w:t>דברי הסבר</w:t>
      </w:r>
    </w:p>
    <w:p w14:paraId="6FD3DCC8" w14:textId="50A8105E" w:rsidR="0070609A" w:rsidRDefault="0070609A" w:rsidP="0070609A">
      <w:pPr>
        <w:spacing w:before="0" w:line="360" w:lineRule="auto"/>
      </w:pPr>
      <w:r>
        <w:rPr>
          <w:rFonts w:cs="David" w:hint="cs"/>
          <w:sz w:val="26"/>
          <w:szCs w:val="26"/>
          <w:rtl/>
        </w:rPr>
        <w:t>במדינת ישראל, לפי נתונים הנכונים לשנת 2014, חיים קרוב לשני מיליון תושבים מתחת לקו העוני, שהם כ-25% מכלל אוכלוסיית המדינה, מתוכם קרוב ל-900,000 ילדים. ילדים רבים הולכים לישון ללא ארוחה חמה ונשלחים ללא כריך לבית-הספר. אכן, נעשים מהלכים חיוביים בכיוון, אולם עד כה נדמה כי לא די בהם. המחאה החברתית שפקדה את ישראל בשנת 2011 ה</w:t>
      </w:r>
      <w:r w:rsidR="00D86F86">
        <w:rPr>
          <w:rFonts w:cs="David" w:hint="cs"/>
          <w:sz w:val="26"/>
          <w:szCs w:val="26"/>
          <w:rtl/>
        </w:rPr>
        <w:t>י</w:t>
      </w:r>
      <w:r>
        <w:rPr>
          <w:rFonts w:cs="David" w:hint="cs"/>
          <w:sz w:val="26"/>
          <w:szCs w:val="26"/>
          <w:rtl/>
        </w:rPr>
        <w:t xml:space="preserve">יתה דוגמה לכך ולעול יוקר המחייה הרובץ על תושבי המדינה, וכך גם "מחאת המילקי" שפרצה בחודש אוקטובר 2014, והציפה מחדש את המצוקה ואת מגמת הירידה מהארץ כפועל יוצא ממצוקה זו. </w:t>
      </w:r>
    </w:p>
    <w:p w14:paraId="2DC9D99F" w14:textId="77777777" w:rsidR="0070609A" w:rsidRDefault="0070609A" w:rsidP="0070609A">
      <w:pPr>
        <w:spacing w:before="0" w:line="360" w:lineRule="auto"/>
        <w:rPr>
          <w:rtl/>
        </w:rPr>
      </w:pPr>
      <w:r>
        <w:rPr>
          <w:rFonts w:cs="David" w:hint="cs"/>
          <w:sz w:val="26"/>
          <w:szCs w:val="26"/>
          <w:rtl/>
        </w:rPr>
        <w:t xml:space="preserve">כפי שצוין, משפחות רבות מצויות מתחת לקו-העוני ומצבן הסוציו-אקונומי מונע מהן אף את המצרכים האלמנטריים ביותר. כך למשל, בתקופה האחרונה האמירו מחירי הירקות שהפכו גבוהים מאי פעם, וכתוצאה מכך, משפחות רבות נאלצות לוותר על קניית ירקות טריים. ברור לכל שירקות הם </w:t>
      </w:r>
      <w:r>
        <w:rPr>
          <w:rFonts w:cs="David" w:hint="cs"/>
          <w:sz w:val="26"/>
          <w:szCs w:val="26"/>
          <w:rtl/>
        </w:rPr>
        <w:lastRenderedPageBreak/>
        <w:t xml:space="preserve">מצרך בסיסי המהווה נדבך חשוב בתפריט בריא ומאוזן למבוגרים ולילדים,  ולכן יש חשיבות גדולה למנוע מצב בלתי סביר זה.  </w:t>
      </w:r>
    </w:p>
    <w:p w14:paraId="33AE7112" w14:textId="77777777" w:rsidR="0070609A" w:rsidRDefault="0070609A" w:rsidP="0070609A">
      <w:pPr>
        <w:spacing w:before="0" w:line="360" w:lineRule="auto"/>
        <w:rPr>
          <w:rtl/>
        </w:rPr>
      </w:pPr>
      <w:r>
        <w:rPr>
          <w:rFonts w:cs="David" w:hint="cs"/>
          <w:sz w:val="26"/>
          <w:szCs w:val="26"/>
          <w:rtl/>
        </w:rPr>
        <w:t>נוסף על כך, מנתונים שפורסמו עולה כי פערי התיווך, קרי, הפערים שבין המחיר שבו רוכש הסיטונאי מהחקלאי את התוצרת לבין מחירה לצרכן, עומדים על מאות אחוזים.</w:t>
      </w:r>
    </w:p>
    <w:p w14:paraId="46347DE1" w14:textId="2A277F16" w:rsidR="0070609A" w:rsidRDefault="0070609A" w:rsidP="007306DB">
      <w:pPr>
        <w:spacing w:before="0" w:line="360" w:lineRule="auto"/>
        <w:rPr>
          <w:rtl/>
        </w:rPr>
      </w:pPr>
      <w:r>
        <w:rPr>
          <w:rFonts w:cs="David" w:hint="cs"/>
          <w:sz w:val="26"/>
          <w:szCs w:val="26"/>
          <w:rtl/>
        </w:rPr>
        <w:t xml:space="preserve">חוק פיקוח על מחירי מצרכים ושירותים, </w:t>
      </w:r>
      <w:proofErr w:type="spellStart"/>
      <w:r>
        <w:rPr>
          <w:rFonts w:cs="David" w:hint="cs"/>
          <w:sz w:val="26"/>
          <w:szCs w:val="26"/>
          <w:rtl/>
        </w:rPr>
        <w:t>התשנ"ו</w:t>
      </w:r>
      <w:proofErr w:type="spellEnd"/>
      <w:r>
        <w:rPr>
          <w:rFonts w:cs="David" w:hint="eastAsia"/>
          <w:sz w:val="26"/>
          <w:szCs w:val="26"/>
          <w:rtl/>
        </w:rPr>
        <w:t>–</w:t>
      </w:r>
      <w:r>
        <w:rPr>
          <w:rFonts w:cs="David" w:hint="cs"/>
          <w:sz w:val="26"/>
          <w:szCs w:val="26"/>
          <w:rtl/>
        </w:rPr>
        <w:softHyphen/>
        <w:t xml:space="preserve">1996, מסדיר ומעניק, בין היתר, את הסמכות לשרים הרלוונטיים לקבוע את הרווח המרבי שמותר להפיק ממכירת מצרכים ושירותים. ואולם, נראה כי בפועל אין שימוש מרובה בסמכות זו, ומוצרים </w:t>
      </w:r>
      <w:r w:rsidR="007306DB">
        <w:rPr>
          <w:rFonts w:cs="David" w:hint="cs"/>
          <w:sz w:val="26"/>
          <w:szCs w:val="26"/>
          <w:rtl/>
        </w:rPr>
        <w:t>בסיסיים</w:t>
      </w:r>
      <w:r>
        <w:rPr>
          <w:rFonts w:cs="David" w:hint="cs"/>
          <w:sz w:val="26"/>
          <w:szCs w:val="26"/>
          <w:rtl/>
        </w:rPr>
        <w:t xml:space="preserve"> רבים אינם נתונים לפיקוח כאמור. לפיכך, אין למעשה בקרה של ממש על הרווח המרבי שניתן להפיק בין מחיר המכירה הראשונה של המצרך לבין המחיר לצרכן הסופי, כשבין שני אלה ישנם גורמים מתווכים נוספים.</w:t>
      </w:r>
    </w:p>
    <w:p w14:paraId="66CDFF5F" w14:textId="053A4E20" w:rsidR="0070609A" w:rsidRDefault="0070609A" w:rsidP="0070609A">
      <w:pPr>
        <w:spacing w:before="0" w:line="360" w:lineRule="auto"/>
        <w:rPr>
          <w:rFonts w:cs="David"/>
          <w:sz w:val="26"/>
          <w:szCs w:val="26"/>
          <w:rtl/>
        </w:rPr>
      </w:pPr>
      <w:r>
        <w:rPr>
          <w:rFonts w:cs="David" w:hint="cs"/>
          <w:sz w:val="26"/>
          <w:szCs w:val="26"/>
          <w:rtl/>
        </w:rPr>
        <w:t>מוצע לקבוע סל בסיסי של ירקות, שהם מצרך אלמנטרי, כאשר הרווח המרבי על מוצרים אלו יהיה מוגבל ומפוקח, ויאפשר לרבים מאזרחי המדינה חסכון, גם אם מינימלי בשלב זה, בסל הקניות השבועי.</w:t>
      </w:r>
    </w:p>
    <w:p w14:paraId="28D3C657" w14:textId="4BB4AFD1" w:rsidR="00806153" w:rsidRDefault="00806153" w:rsidP="0070609A">
      <w:pPr>
        <w:spacing w:before="0" w:line="360" w:lineRule="auto"/>
        <w:rPr>
          <w:rFonts w:cs="David"/>
          <w:sz w:val="26"/>
          <w:szCs w:val="26"/>
          <w:rtl/>
        </w:rPr>
      </w:pPr>
      <w:r>
        <w:rPr>
          <w:rFonts w:cs="David" w:hint="cs"/>
          <w:sz w:val="26"/>
          <w:szCs w:val="26"/>
          <w:rtl/>
        </w:rPr>
        <w:t>הצעת חוק זהה הונחה</w:t>
      </w:r>
      <w:r w:rsidR="007306DB">
        <w:rPr>
          <w:rFonts w:cs="David" w:hint="cs"/>
          <w:sz w:val="26"/>
          <w:szCs w:val="26"/>
          <w:rtl/>
        </w:rPr>
        <w:t xml:space="preserve"> על שולחן הכנסת העשרים ושתיים על ידי חברת הכנסת אורלי לוי </w:t>
      </w:r>
      <w:proofErr w:type="spellStart"/>
      <w:r w:rsidR="007306DB">
        <w:rPr>
          <w:rFonts w:cs="David" w:hint="cs"/>
          <w:sz w:val="26"/>
          <w:szCs w:val="26"/>
          <w:rtl/>
        </w:rPr>
        <w:t>אבקסיס</w:t>
      </w:r>
      <w:proofErr w:type="spellEnd"/>
      <w:r w:rsidR="007306DB">
        <w:rPr>
          <w:rFonts w:cs="David" w:hint="cs"/>
          <w:sz w:val="26"/>
          <w:szCs w:val="26"/>
          <w:rtl/>
        </w:rPr>
        <w:t xml:space="preserve"> (</w:t>
      </w:r>
      <w:r w:rsidR="007306DB" w:rsidRPr="007306DB">
        <w:rPr>
          <w:rFonts w:cs="David"/>
          <w:sz w:val="26"/>
          <w:szCs w:val="26"/>
          <w:rtl/>
        </w:rPr>
        <w:t>פ/1314/22</w:t>
      </w:r>
      <w:r w:rsidR="007306DB">
        <w:rPr>
          <w:rFonts w:cs="David" w:hint="cs"/>
          <w:sz w:val="26"/>
          <w:szCs w:val="26"/>
          <w:rtl/>
        </w:rPr>
        <w:t>).</w:t>
      </w:r>
    </w:p>
    <w:p w14:paraId="37FD4EBE" w14:textId="77777777" w:rsidR="00BF2E43" w:rsidRDefault="00BF2E43" w:rsidP="0070609A">
      <w:pPr>
        <w:spacing w:before="0" w:line="360" w:lineRule="auto"/>
        <w:rPr>
          <w:rFonts w:cs="David"/>
          <w:sz w:val="26"/>
          <w:szCs w:val="26"/>
          <w:rtl/>
        </w:rPr>
      </w:pPr>
    </w:p>
    <w:p w14:paraId="425F9FCA" w14:textId="77777777" w:rsidR="00BF2E43" w:rsidRPr="00D73212" w:rsidRDefault="00BF2E43" w:rsidP="00BF2E43">
      <w:pPr>
        <w:pStyle w:val="Hesber"/>
        <w:rPr>
          <w:color w:val="auto"/>
          <w:rtl/>
          <w:lang w:eastAsia="en-US"/>
        </w:rPr>
      </w:pPr>
      <w:r w:rsidRPr="00D73212">
        <w:rPr>
          <w:color w:val="auto"/>
          <w:rtl/>
          <w:lang w:eastAsia="en-US"/>
        </w:rPr>
        <w:t>---------------------------------</w:t>
      </w:r>
    </w:p>
    <w:p w14:paraId="6981E511" w14:textId="77777777" w:rsidR="00BF2E43" w:rsidRPr="00D73212" w:rsidRDefault="00BF2E43" w:rsidP="00BF2E43">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373DB177" w14:textId="77777777" w:rsidR="00BF2E43" w:rsidRPr="00D73212" w:rsidRDefault="00BF2E43" w:rsidP="00BF2E43">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54CDF879" w14:textId="77777777" w:rsidR="00BF2E43" w:rsidRPr="00317312" w:rsidRDefault="00BF2E43" w:rsidP="00BF2E43">
      <w:pPr>
        <w:pStyle w:val="Hesber"/>
      </w:pPr>
      <w:r>
        <w:rPr>
          <w:rFonts w:hint="cs"/>
          <w:color w:val="auto"/>
          <w:rtl/>
          <w:lang w:eastAsia="en-US"/>
        </w:rPr>
        <w:t xml:space="preserve">י"ז באייר </w:t>
      </w:r>
      <w:proofErr w:type="spellStart"/>
      <w:r>
        <w:rPr>
          <w:rFonts w:hint="cs"/>
          <w:color w:val="auto"/>
          <w:rtl/>
          <w:lang w:eastAsia="en-US"/>
        </w:rPr>
        <w:t>התש"ף</w:t>
      </w:r>
      <w:proofErr w:type="spellEnd"/>
      <w:r>
        <w:rPr>
          <w:rFonts w:hint="cs"/>
          <w:color w:val="auto"/>
          <w:rtl/>
          <w:lang w:eastAsia="en-US"/>
        </w:rPr>
        <w:t xml:space="preserve"> </w:t>
      </w:r>
      <w:r w:rsidRPr="00D73212">
        <w:rPr>
          <w:color w:val="auto"/>
          <w:rtl/>
          <w:lang w:eastAsia="en-US"/>
        </w:rPr>
        <w:t>–</w:t>
      </w:r>
      <w:r>
        <w:rPr>
          <w:rFonts w:hint="cs"/>
          <w:color w:val="auto"/>
          <w:rtl/>
          <w:lang w:eastAsia="en-US"/>
        </w:rPr>
        <w:t xml:space="preserve"> 11.5</w:t>
      </w:r>
      <w:r w:rsidRPr="00D73212">
        <w:rPr>
          <w:color w:val="auto"/>
          <w:rtl/>
          <w:lang w:eastAsia="en-US"/>
        </w:rPr>
        <w:t>.</w:t>
      </w:r>
      <w:r>
        <w:rPr>
          <w:rFonts w:hint="cs"/>
          <w:color w:val="auto"/>
          <w:rtl/>
          <w:lang w:eastAsia="en-US"/>
        </w:rPr>
        <w:t xml:space="preserve">20  </w:t>
      </w:r>
    </w:p>
    <w:p w14:paraId="7CC2166A" w14:textId="77777777" w:rsidR="00BF2E43" w:rsidRPr="00E73006" w:rsidRDefault="00BF2E43" w:rsidP="00BF2E43">
      <w:pPr>
        <w:spacing w:before="0" w:line="360" w:lineRule="auto"/>
        <w:ind w:left="340" w:firstLine="0"/>
        <w:rPr>
          <w:rFonts w:ascii="Arial" w:eastAsia="Arial Unicode MS" w:hAnsi="Arial" w:cs="David"/>
          <w:snapToGrid w:val="0"/>
          <w:spacing w:val="0"/>
          <w:sz w:val="20"/>
          <w:szCs w:val="26"/>
          <w:rtl/>
        </w:rPr>
      </w:pPr>
    </w:p>
    <w:p w14:paraId="3CE2E641" w14:textId="77777777" w:rsidR="00BF2E43" w:rsidRPr="00B15BBC" w:rsidRDefault="00BF2E43" w:rsidP="00BF2E43">
      <w:pPr>
        <w:spacing w:before="0" w:line="360" w:lineRule="auto"/>
        <w:ind w:left="340" w:firstLine="0"/>
        <w:rPr>
          <w:rFonts w:ascii="Arial" w:eastAsia="Arial Unicode MS" w:hAnsi="Arial" w:cs="David"/>
          <w:snapToGrid w:val="0"/>
          <w:spacing w:val="0"/>
          <w:sz w:val="20"/>
          <w:szCs w:val="26"/>
          <w:rtl/>
        </w:rPr>
      </w:pPr>
    </w:p>
    <w:p w14:paraId="67A82E4B" w14:textId="77777777" w:rsidR="00BF2E43" w:rsidRPr="000339B5" w:rsidRDefault="00BF2E43" w:rsidP="00BF2E43">
      <w:pPr>
        <w:spacing w:before="0"/>
      </w:pPr>
    </w:p>
    <w:p w14:paraId="0BC291CA" w14:textId="77777777" w:rsidR="00BF2E43" w:rsidRPr="00BF2E43" w:rsidRDefault="00BF2E43" w:rsidP="0070609A">
      <w:pPr>
        <w:spacing w:before="0" w:line="360" w:lineRule="auto"/>
        <w:rPr>
          <w:rFonts w:cs="David"/>
          <w:sz w:val="26"/>
          <w:szCs w:val="26"/>
          <w:rtl/>
        </w:rPr>
      </w:pPr>
    </w:p>
    <w:p w14:paraId="7F6961CB" w14:textId="77777777" w:rsidR="00E13C27" w:rsidRDefault="00E13C27" w:rsidP="00E13C27">
      <w:pPr>
        <w:pStyle w:val="Hesber"/>
        <w:rPr>
          <w:rtl/>
        </w:rPr>
      </w:pPr>
    </w:p>
    <w:sectPr w:rsidR="00E13C27"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9D6AF" w14:textId="77777777" w:rsidR="0014747E" w:rsidRDefault="0014747E">
      <w:r>
        <w:separator/>
      </w:r>
    </w:p>
  </w:endnote>
  <w:endnote w:type="continuationSeparator" w:id="0">
    <w:p w14:paraId="6D388521" w14:textId="77777777" w:rsidR="0014747E" w:rsidRDefault="0014747E">
      <w:r>
        <w:continuationSeparator/>
      </w:r>
    </w:p>
  </w:endnote>
  <w:endnote w:type="continuationNotice" w:id="1">
    <w:p w14:paraId="503C0A60" w14:textId="77777777" w:rsidR="0014747E" w:rsidRDefault="0014747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961D7" w14:textId="7F930806"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BF2E43">
      <w:rPr>
        <w:rStyle w:val="aa"/>
        <w:noProof/>
        <w:rtl/>
      </w:rPr>
      <w:t>2</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B2945" w14:textId="77777777" w:rsidR="0014747E" w:rsidRDefault="0014747E">
      <w:r>
        <w:separator/>
      </w:r>
    </w:p>
  </w:footnote>
  <w:footnote w:type="continuationSeparator" w:id="0">
    <w:p w14:paraId="258AA8FD" w14:textId="77777777" w:rsidR="0014747E" w:rsidRDefault="0014747E">
      <w:r>
        <w:continuationSeparator/>
      </w:r>
    </w:p>
  </w:footnote>
  <w:footnote w:type="continuationNotice" w:id="1">
    <w:p w14:paraId="31EBBF08" w14:textId="77777777" w:rsidR="0014747E" w:rsidRDefault="0014747E"/>
  </w:footnote>
  <w:footnote w:id="2">
    <w:p w14:paraId="2102EB0E" w14:textId="77777777" w:rsidR="0070609A" w:rsidRDefault="0070609A" w:rsidP="0070609A">
      <w:pPr>
        <w:pStyle w:val="a4"/>
        <w:rPr>
          <w:rtl/>
        </w:rPr>
      </w:pPr>
      <w:r>
        <w:rPr>
          <w:rStyle w:val="a5"/>
        </w:rPr>
        <w:footnoteRef/>
      </w:r>
      <w:r>
        <w:rPr>
          <w:rtl/>
        </w:rPr>
        <w:t xml:space="preserve"> </w:t>
      </w:r>
      <w:r>
        <w:rPr>
          <w:rFonts w:hint="cs"/>
          <w:rtl/>
        </w:rPr>
        <w:t xml:space="preserve">ס"ח </w:t>
      </w:r>
      <w:proofErr w:type="spellStart"/>
      <w:r>
        <w:rPr>
          <w:rFonts w:hint="cs"/>
          <w:rtl/>
        </w:rPr>
        <w:t>התשנ"ו</w:t>
      </w:r>
      <w:proofErr w:type="spellEnd"/>
      <w:r>
        <w:rPr>
          <w:rFonts w:hint="cs"/>
          <w:rtl/>
        </w:rPr>
        <w:t>, עמ' 192.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0NDKxsLA0MzM0NLRQ0lEKTi0uzszPAykwrAUAfPu+6ywAAAA="/>
    <w:docVar w:name="OriginalName" w:val="tmp482240lsCopyOriginal.docx"/>
    <w:docVar w:name="StartMode" w:val="2"/>
  </w:docVars>
  <w:rsids>
    <w:rsidRoot w:val="00DB7060"/>
    <w:rsid w:val="0000131B"/>
    <w:rsid w:val="00015B27"/>
    <w:rsid w:val="00063A3E"/>
    <w:rsid w:val="00072CAC"/>
    <w:rsid w:val="0007681A"/>
    <w:rsid w:val="000A542E"/>
    <w:rsid w:val="000C7DA7"/>
    <w:rsid w:val="00102B6B"/>
    <w:rsid w:val="001052D4"/>
    <w:rsid w:val="0010644B"/>
    <w:rsid w:val="001207F8"/>
    <w:rsid w:val="00121924"/>
    <w:rsid w:val="001279A8"/>
    <w:rsid w:val="001401AF"/>
    <w:rsid w:val="0014195F"/>
    <w:rsid w:val="0014747E"/>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62674B"/>
    <w:rsid w:val="006363B2"/>
    <w:rsid w:val="00644940"/>
    <w:rsid w:val="006818A9"/>
    <w:rsid w:val="006A2D81"/>
    <w:rsid w:val="006C1D0D"/>
    <w:rsid w:val="0070601E"/>
    <w:rsid w:val="0070609A"/>
    <w:rsid w:val="00712C72"/>
    <w:rsid w:val="007306DB"/>
    <w:rsid w:val="00735FE9"/>
    <w:rsid w:val="00763CAA"/>
    <w:rsid w:val="00765F66"/>
    <w:rsid w:val="0078664F"/>
    <w:rsid w:val="007A27CE"/>
    <w:rsid w:val="007C3FA6"/>
    <w:rsid w:val="007D585A"/>
    <w:rsid w:val="007D5A12"/>
    <w:rsid w:val="007E59F9"/>
    <w:rsid w:val="00806153"/>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BF2E43"/>
    <w:rsid w:val="00C23B1A"/>
    <w:rsid w:val="00C310EB"/>
    <w:rsid w:val="00C647F8"/>
    <w:rsid w:val="00C9176A"/>
    <w:rsid w:val="00CF1AA2"/>
    <w:rsid w:val="00D142D3"/>
    <w:rsid w:val="00D17774"/>
    <w:rsid w:val="00D63620"/>
    <w:rsid w:val="00D8410D"/>
    <w:rsid w:val="00D867D7"/>
    <w:rsid w:val="00D86F86"/>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01B61792-AB54-4AC4-978B-F430B7B3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aliases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6">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7">
    <w:name w:val="header"/>
    <w:basedOn w:val="a"/>
    <w:rsid w:val="00B975AD"/>
    <w:pPr>
      <w:tabs>
        <w:tab w:val="center" w:pos="4153"/>
        <w:tab w:val="right" w:pos="8306"/>
      </w:tabs>
    </w:pPr>
  </w:style>
  <w:style w:type="paragraph" w:styleId="a8">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325C14"/>
    <w:pPr>
      <w:spacing w:before="0"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3D6E9C754E1F7C4C891E9EE2E0AF8150" ma:contentTypeVersion="" ma:contentTypeDescription="צור מסמך חדש." ma:contentTypeScope="" ma:versionID="b2c52f23e7867aea476dda019525fa93">
  <xsd:schema xmlns:xsd="http://www.w3.org/2001/XMLSchema" xmlns:xs="http://www.w3.org/2001/XMLSchema" xmlns:p="http://schemas.microsoft.com/office/2006/metadata/properties" targetNamespace="http://schemas.microsoft.com/office/2006/metadata/properties" ma:root="true" ma:fieldsID="095a2728251a2ce93c0626b1f2c5b5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621037-3022-489C-AA81-915B67D5B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761723-448F-45E2-90B9-EE70BF7D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2205</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Mirit Zmiry</cp:lastModifiedBy>
  <cp:revision>2</cp:revision>
  <cp:lastPrinted>2020-03-17T12:48:00Z</cp:lastPrinted>
  <dcterms:created xsi:type="dcterms:W3CDTF">2020-05-17T12:35:00Z</dcterms:created>
  <dcterms:modified xsi:type="dcterms:W3CDTF">2020-05-17T12:35:00Z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0x0101003D6E9C754E1F7C4C891E9EE2E0AF8150</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2086234</vt:r8>
  </property>
</Properties>
</file>