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61A1" w14:textId="77777777" w:rsidR="002C2E29" w:rsidRPr="00E635A2" w:rsidRDefault="004033D8" w:rsidP="00E635A2">
      <w:pPr>
        <w:jc w:val="right"/>
        <w:rPr>
          <w:b/>
          <w:bCs/>
          <w:sz w:val="20"/>
          <w:szCs w:val="20"/>
        </w:rPr>
      </w:pPr>
      <w:r w:rsidRPr="00E635A2">
        <w:rPr>
          <w:rFonts w:hint="cs"/>
          <w:sz w:val="2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sz w:val="20"/>
          <w:szCs w:val="20"/>
          <w:rtl/>
        </w:rPr>
        <w:t>2081510</w:t>
      </w:r>
      <w:bookmarkEnd w:id="0"/>
    </w:p>
    <w:p w14:paraId="7F6961A2" w14:textId="2CD1C3D8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bookmarkStart w:id="1" w:name="LGS_Knesset_Num"/>
      <w:r>
        <w:rPr>
          <w:rFonts w:hint="cs"/>
          <w:sz w:val="28"/>
          <w:szCs w:val="28"/>
          <w:rtl/>
        </w:rPr>
        <w:t>הכנסת העשרים ושתיים</w:t>
      </w:r>
      <w:bookmarkEnd w:id="1"/>
    </w:p>
    <w:p w14:paraId="7F6961A3" w14:textId="77777777" w:rsidR="00E13C27" w:rsidRPr="00F67051" w:rsidRDefault="00E13C27" w:rsidP="00E13C27">
      <w:pPr>
        <w:rPr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 xml:space="preserve">מיכאל </w:t>
      </w:r>
      <w:proofErr w:type="spellStart"/>
      <w:r>
        <w:rPr>
          <w:rFonts w:hint="cs"/>
          <w:b/>
          <w:bCs/>
          <w:rtl/>
        </w:rPr>
        <w:t>מלכיאלי</w:t>
      </w:r>
      <w:proofErr w:type="spellEnd"/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משה אבוטבול</w:t>
      </w:r>
      <w:bookmarkEnd w:id="3"/>
    </w:p>
    <w:p w14:paraId="7F6961AA" w14:textId="39F9D96B" w:rsidR="00E13C27" w:rsidRPr="00CF1AA2" w:rsidRDefault="007D585A" w:rsidP="0036422C">
      <w:pPr>
        <w:pStyle w:val="David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4CF65381" w:rsidR="00E13C27" w:rsidRPr="00E06736" w:rsidRDefault="00904591" w:rsidP="00904591">
      <w:pPr>
        <w:pStyle w:val="David"/>
        <w:spacing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 w:rsidR="006B285B">
        <w:rPr>
          <w:rtl/>
        </w:rPr>
        <w:tab/>
      </w:r>
      <w:r>
        <w:rPr>
          <w:rFonts w:hint="cs"/>
          <w:rtl/>
        </w:rPr>
        <w:t>פ/679/22</w:t>
      </w:r>
      <w:bookmarkEnd w:id="6"/>
    </w:p>
    <w:p w14:paraId="7F6961AC" w14:textId="77777777" w:rsidR="00E13C27" w:rsidRDefault="00E13C27" w:rsidP="00E13C27">
      <w:pPr>
        <w:ind w:left="2880" w:firstLine="720"/>
        <w:rPr>
          <w:sz w:val="26"/>
          <w:szCs w:val="26"/>
          <w:rtl/>
        </w:rPr>
      </w:pPr>
    </w:p>
    <w:p w14:paraId="7F6961AD" w14:textId="0652F756" w:rsidR="00E13C27" w:rsidRDefault="00A443CF" w:rsidP="0045597B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 xml:space="preserve">הצעת חוק הגנת הצרכן (תיקון – סימון תאריך ייצור ומועד תפוגה עברי), </w:t>
      </w:r>
      <w:proofErr w:type="spellStart"/>
      <w:r>
        <w:rPr>
          <w:rFonts w:hint="cs"/>
          <w:rtl/>
        </w:rPr>
        <w:t>התש"ף</w:t>
      </w:r>
      <w:proofErr w:type="spellEnd"/>
      <w:r>
        <w:rPr>
          <w:rFonts w:hint="cs"/>
          <w:rtl/>
        </w:rPr>
        <w:t>–2019</w:t>
      </w:r>
      <w:bookmarkEnd w:id="7"/>
    </w:p>
    <w:p w14:paraId="1D6CA4DC" w14:textId="77777777" w:rsidR="006B285B" w:rsidRDefault="006B285B" w:rsidP="0045597B">
      <w:pPr>
        <w:pStyle w:val="HeadHatzaotHok"/>
        <w:rPr>
          <w:rtl/>
        </w:rPr>
      </w:pPr>
    </w:p>
    <w:tbl>
      <w:tblPr>
        <w:bidiVisual/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624"/>
        <w:gridCol w:w="7143"/>
      </w:tblGrid>
      <w:tr w:rsidR="00F64E95" w:rsidRPr="00366A2D" w14:paraId="1C8154EF" w14:textId="77777777" w:rsidTr="00800660">
        <w:trPr>
          <w:cantSplit/>
        </w:trPr>
        <w:tc>
          <w:tcPr>
            <w:tcW w:w="1871" w:type="dxa"/>
          </w:tcPr>
          <w:p w14:paraId="3DEE55A2" w14:textId="77777777" w:rsidR="00F64E95" w:rsidRPr="00366A2D" w:rsidRDefault="00F64E95" w:rsidP="00D06A4E">
            <w:pPr>
              <w:pStyle w:val="TableSideHeading"/>
            </w:pPr>
            <w:r w:rsidRPr="00366A2D">
              <w:rPr>
                <w:rtl/>
              </w:rPr>
              <w:t xml:space="preserve">תיקון סעיף 17 </w:t>
            </w:r>
          </w:p>
        </w:tc>
        <w:tc>
          <w:tcPr>
            <w:tcW w:w="624" w:type="dxa"/>
          </w:tcPr>
          <w:p w14:paraId="7B57F8C5" w14:textId="77777777" w:rsidR="00F64E95" w:rsidRPr="00366A2D" w:rsidRDefault="00F64E95" w:rsidP="00D06A4E">
            <w:pPr>
              <w:pStyle w:val="TableText"/>
              <w:jc w:val="both"/>
            </w:pPr>
            <w:r w:rsidRPr="00366A2D">
              <w:rPr>
                <w:rtl/>
              </w:rPr>
              <w:t>1.</w:t>
            </w:r>
          </w:p>
        </w:tc>
        <w:tc>
          <w:tcPr>
            <w:tcW w:w="7143" w:type="dxa"/>
          </w:tcPr>
          <w:p w14:paraId="78EFA45C" w14:textId="7A4F5802" w:rsidR="00F64E95" w:rsidRPr="00366A2D" w:rsidRDefault="00F64E95" w:rsidP="008A2BCB">
            <w:pPr>
              <w:pStyle w:val="TableBlock"/>
            </w:pPr>
            <w:r w:rsidRPr="00366A2D">
              <w:rPr>
                <w:rtl/>
              </w:rPr>
              <w:t xml:space="preserve">בחוק הגנת הצרכן, </w:t>
            </w:r>
            <w:proofErr w:type="spellStart"/>
            <w:r w:rsidRPr="00366A2D">
              <w:rPr>
                <w:rtl/>
              </w:rPr>
              <w:t>התשמ"א</w:t>
            </w:r>
            <w:proofErr w:type="spellEnd"/>
            <w:r>
              <w:rPr>
                <w:rFonts w:hint="cs"/>
                <w:rtl/>
              </w:rPr>
              <w:t>–1981</w:t>
            </w:r>
            <w:r w:rsidR="008A2BCB">
              <w:rPr>
                <w:rStyle w:val="a5"/>
                <w:rtl/>
              </w:rPr>
              <w:footnoteReference w:id="2"/>
            </w:r>
            <w:r w:rsidRPr="00366A2D">
              <w:rPr>
                <w:rtl/>
              </w:rPr>
              <w:t>, בסעיף 17(ב)(2)</w:t>
            </w:r>
            <w:r>
              <w:rPr>
                <w:rFonts w:hint="cs"/>
                <w:rtl/>
              </w:rPr>
              <w:t>, במקום "תאריך ייצורם, מועד תפוגתם" יבוא "תאריך ייצורם ומועד תפוגתם בתאריך עברי ובתאריך לועזי".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22D09AA8" w14:textId="79940586" w:rsidR="00F64E95" w:rsidRPr="008E2919" w:rsidRDefault="00EE1AF6" w:rsidP="00BD4B05">
      <w:pPr>
        <w:pStyle w:val="Hesber"/>
        <w:rPr>
          <w:rtl/>
        </w:rPr>
      </w:pPr>
      <w:r>
        <w:rPr>
          <w:rFonts w:hint="cs"/>
          <w:rtl/>
        </w:rPr>
        <w:t>בהתאם ל</w:t>
      </w:r>
      <w:r w:rsidR="00F64E95" w:rsidRPr="008E2919">
        <w:rPr>
          <w:rFonts w:hint="cs"/>
          <w:rtl/>
        </w:rPr>
        <w:t>סעיף 17(ב)(2) ל</w:t>
      </w:r>
      <w:r w:rsidR="00F64E95" w:rsidRPr="008E2919">
        <w:rPr>
          <w:rtl/>
        </w:rPr>
        <w:t xml:space="preserve">חוק הגנת הצרכן, </w:t>
      </w:r>
      <w:proofErr w:type="spellStart"/>
      <w:r w:rsidR="00F64E95" w:rsidRPr="008E2919">
        <w:rPr>
          <w:rtl/>
        </w:rPr>
        <w:t>התשמ"א</w:t>
      </w:r>
      <w:proofErr w:type="spellEnd"/>
      <w:r w:rsidR="00F64E95" w:rsidRPr="008E2919">
        <w:rPr>
          <w:rFonts w:hint="eastAsia"/>
          <w:rtl/>
        </w:rPr>
        <w:t>–</w:t>
      </w:r>
      <w:r w:rsidR="00F64E95" w:rsidRPr="008E2919">
        <w:rPr>
          <w:rtl/>
        </w:rPr>
        <w:t xml:space="preserve">1981, </w:t>
      </w:r>
      <w:r w:rsidR="00BD4B05">
        <w:rPr>
          <w:rFonts w:hint="cs"/>
          <w:rtl/>
        </w:rPr>
        <w:t xml:space="preserve">עוסק מחויב </w:t>
      </w:r>
      <w:r w:rsidR="00F64E95" w:rsidRPr="008E2919">
        <w:rPr>
          <w:rtl/>
        </w:rPr>
        <w:t xml:space="preserve">לסמן על גבי טובין המיועדים לצרכן, בין היתר, את </w:t>
      </w:r>
      <w:r w:rsidR="00F64E95" w:rsidRPr="008E2919">
        <w:rPr>
          <w:rFonts w:hint="cs"/>
          <w:rtl/>
        </w:rPr>
        <w:t xml:space="preserve">תאריך ייצור הטובין ואת </w:t>
      </w:r>
      <w:r w:rsidR="00F64E95" w:rsidRPr="008E2919">
        <w:rPr>
          <w:rtl/>
        </w:rPr>
        <w:t>מועד תפוג</w:t>
      </w:r>
      <w:r w:rsidR="00F64E95" w:rsidRPr="008E2919">
        <w:rPr>
          <w:rFonts w:hint="cs"/>
          <w:rtl/>
        </w:rPr>
        <w:t xml:space="preserve">תם. </w:t>
      </w:r>
      <w:r w:rsidR="004A5B37">
        <w:rPr>
          <w:rFonts w:hint="cs"/>
          <w:rtl/>
        </w:rPr>
        <w:t>בעוד ש</w:t>
      </w:r>
      <w:r w:rsidR="00F64E95" w:rsidRPr="008E2919">
        <w:rPr>
          <w:rFonts w:hint="cs"/>
          <w:rtl/>
        </w:rPr>
        <w:t xml:space="preserve">חוק השימוש בתאריך </w:t>
      </w:r>
      <w:r w:rsidR="004A5B37">
        <w:rPr>
          <w:rFonts w:hint="cs"/>
          <w:rtl/>
        </w:rPr>
        <w:t>ה</w:t>
      </w:r>
      <w:r w:rsidR="00F64E95" w:rsidRPr="008E2919">
        <w:rPr>
          <w:rFonts w:hint="cs"/>
          <w:rtl/>
        </w:rPr>
        <w:t xml:space="preserve">עברי, </w:t>
      </w:r>
      <w:proofErr w:type="spellStart"/>
      <w:r w:rsidR="00F64E95" w:rsidRPr="008E2919">
        <w:rPr>
          <w:rFonts w:hint="cs"/>
          <w:rtl/>
        </w:rPr>
        <w:t>התשנ"ח</w:t>
      </w:r>
      <w:proofErr w:type="spellEnd"/>
      <w:r w:rsidR="00F64E95" w:rsidRPr="008E2919">
        <w:rPr>
          <w:rFonts w:hint="eastAsia"/>
          <w:rtl/>
        </w:rPr>
        <w:t>–</w:t>
      </w:r>
      <w:r w:rsidR="00F64E95" w:rsidRPr="008E2919">
        <w:rPr>
          <w:rFonts w:hint="cs"/>
          <w:rtl/>
        </w:rPr>
        <w:t xml:space="preserve">1998, </w:t>
      </w:r>
      <w:r w:rsidR="004A5B37">
        <w:rPr>
          <w:rFonts w:hint="cs"/>
          <w:rtl/>
        </w:rPr>
        <w:t xml:space="preserve">מחייב </w:t>
      </w:r>
      <w:r w:rsidR="00F64E95" w:rsidRPr="008E2919">
        <w:rPr>
          <w:rFonts w:hint="cs"/>
          <w:rtl/>
        </w:rPr>
        <w:t xml:space="preserve">רשות ציבורית לציין את התאריך העברי </w:t>
      </w:r>
      <w:r w:rsidR="004A5B37">
        <w:rPr>
          <w:rFonts w:hint="cs"/>
          <w:rtl/>
        </w:rPr>
        <w:t xml:space="preserve">ובנוסף עליו את </w:t>
      </w:r>
      <w:r w:rsidR="00F64E95" w:rsidRPr="008E2919">
        <w:rPr>
          <w:rFonts w:hint="cs"/>
          <w:rtl/>
        </w:rPr>
        <w:t>התאריך הלועזי,</w:t>
      </w:r>
      <w:r w:rsidR="004A5B37">
        <w:rPr>
          <w:rFonts w:hint="cs"/>
          <w:rtl/>
        </w:rPr>
        <w:t xml:space="preserve"> לא קיימת חובה דומה לגבי עוסק.</w:t>
      </w:r>
      <w:r w:rsidR="00F64E95" w:rsidRPr="008E2919">
        <w:rPr>
          <w:rFonts w:hint="cs"/>
          <w:rtl/>
        </w:rPr>
        <w:t xml:space="preserve"> </w:t>
      </w:r>
      <w:r w:rsidR="00B415CB">
        <w:rPr>
          <w:rFonts w:hint="cs"/>
          <w:rtl/>
        </w:rPr>
        <w:t xml:space="preserve">לפיכך, </w:t>
      </w:r>
      <w:r w:rsidR="00F64E95" w:rsidRPr="008E2919">
        <w:rPr>
          <w:rFonts w:hint="cs"/>
          <w:rtl/>
        </w:rPr>
        <w:t>התאריך המוצג על גבי המוצרים הוא תאריך לועזי בלבד.</w:t>
      </w:r>
    </w:p>
    <w:p w14:paraId="7F6961CB" w14:textId="130CF838" w:rsidR="00E13C27" w:rsidRDefault="00F64E95" w:rsidP="00445FDD">
      <w:pPr>
        <w:pStyle w:val="Hesber"/>
        <w:rPr>
          <w:rtl/>
        </w:rPr>
      </w:pPr>
      <w:r w:rsidRPr="008E2919">
        <w:rPr>
          <w:rFonts w:hint="cs"/>
          <w:rtl/>
        </w:rPr>
        <w:t xml:space="preserve">מטרת </w:t>
      </w:r>
      <w:r w:rsidRPr="008E2919">
        <w:rPr>
          <w:rtl/>
        </w:rPr>
        <w:t xml:space="preserve">הצעת </w:t>
      </w:r>
      <w:r w:rsidRPr="008E2919">
        <w:rPr>
          <w:rFonts w:hint="cs"/>
          <w:rtl/>
        </w:rPr>
        <w:t>ה</w:t>
      </w:r>
      <w:r w:rsidRPr="008E2919">
        <w:rPr>
          <w:rtl/>
        </w:rPr>
        <w:t xml:space="preserve">חוק </w:t>
      </w:r>
      <w:r w:rsidRPr="008E2919">
        <w:rPr>
          <w:rFonts w:hint="cs"/>
          <w:rtl/>
        </w:rPr>
        <w:t xml:space="preserve">היא </w:t>
      </w:r>
      <w:r w:rsidRPr="008E2919">
        <w:rPr>
          <w:rtl/>
        </w:rPr>
        <w:t xml:space="preserve">לחייב עוסק לסמן </w:t>
      </w:r>
      <w:r w:rsidRPr="008E2919">
        <w:rPr>
          <w:rFonts w:hint="cs"/>
          <w:rtl/>
        </w:rPr>
        <w:t>תאריך ייצור</w:t>
      </w:r>
      <w:r w:rsidR="00B415CB">
        <w:rPr>
          <w:rFonts w:hint="cs"/>
          <w:rtl/>
        </w:rPr>
        <w:t xml:space="preserve"> הטובין</w:t>
      </w:r>
      <w:r w:rsidRPr="008E2919">
        <w:rPr>
          <w:rFonts w:hint="cs"/>
          <w:rtl/>
        </w:rPr>
        <w:t xml:space="preserve"> ו</w:t>
      </w:r>
      <w:r w:rsidRPr="008E2919">
        <w:rPr>
          <w:rtl/>
        </w:rPr>
        <w:t>מועד תפוג</w:t>
      </w:r>
      <w:r w:rsidR="00B415CB">
        <w:rPr>
          <w:rFonts w:hint="cs"/>
          <w:rtl/>
        </w:rPr>
        <w:t>תם</w:t>
      </w:r>
      <w:r w:rsidRPr="008E2919">
        <w:rPr>
          <w:rtl/>
        </w:rPr>
        <w:t xml:space="preserve"> בתאריך עברי </w:t>
      </w:r>
      <w:r w:rsidRPr="008E2919">
        <w:rPr>
          <w:rFonts w:hint="cs"/>
          <w:rtl/>
        </w:rPr>
        <w:t>ולצדו תאר</w:t>
      </w:r>
      <w:bookmarkStart w:id="8" w:name="_GoBack"/>
      <w:bookmarkEnd w:id="8"/>
      <w:r w:rsidRPr="008E2919">
        <w:rPr>
          <w:rFonts w:hint="cs"/>
          <w:rtl/>
        </w:rPr>
        <w:t>יך לועזי</w:t>
      </w:r>
      <w:r w:rsidR="00662616">
        <w:rPr>
          <w:rFonts w:hint="cs"/>
          <w:rtl/>
        </w:rPr>
        <w:t>.</w:t>
      </w:r>
      <w:r w:rsidRPr="008E2919">
        <w:rPr>
          <w:rFonts w:hint="cs"/>
          <w:rtl/>
        </w:rPr>
        <w:t xml:space="preserve"> יצוין כי מעבר לחשיבותו של התאריך העברי, </w:t>
      </w:r>
      <w:r w:rsidRPr="008E2919">
        <w:rPr>
          <w:rtl/>
        </w:rPr>
        <w:t xml:space="preserve">קיימת חשיבות </w:t>
      </w:r>
      <w:r w:rsidRPr="008E2919">
        <w:rPr>
          <w:rFonts w:hint="cs"/>
          <w:rtl/>
        </w:rPr>
        <w:t xml:space="preserve">צרכנית ובריאותית גבוהה </w:t>
      </w:r>
      <w:r w:rsidRPr="008E2919">
        <w:rPr>
          <w:rtl/>
        </w:rPr>
        <w:t xml:space="preserve">במיוחד </w:t>
      </w:r>
      <w:r w:rsidRPr="008E2919">
        <w:rPr>
          <w:rFonts w:hint="cs"/>
          <w:rtl/>
        </w:rPr>
        <w:t xml:space="preserve">לסימון מועד </w:t>
      </w:r>
      <w:r w:rsidRPr="008E2919">
        <w:rPr>
          <w:rtl/>
        </w:rPr>
        <w:t>תפוגה של מוצר, אשר מייצג את טריותו</w:t>
      </w:r>
      <w:r w:rsidR="00445FDD">
        <w:rPr>
          <w:rFonts w:hint="cs"/>
          <w:rtl/>
        </w:rPr>
        <w:t>,</w:t>
      </w:r>
      <w:r w:rsidRPr="008E2919">
        <w:rPr>
          <w:rtl/>
        </w:rPr>
        <w:t xml:space="preserve"> </w:t>
      </w:r>
      <w:r w:rsidRPr="008E2919">
        <w:rPr>
          <w:rFonts w:hint="cs"/>
          <w:rtl/>
        </w:rPr>
        <w:t xml:space="preserve">גם בתאריך העברי וגם בתאריך </w:t>
      </w:r>
      <w:r w:rsidR="00445FDD">
        <w:rPr>
          <w:rFonts w:hint="cs"/>
          <w:rtl/>
        </w:rPr>
        <w:t>ה</w:t>
      </w:r>
      <w:r w:rsidRPr="008E2919">
        <w:rPr>
          <w:rFonts w:hint="cs"/>
          <w:rtl/>
        </w:rPr>
        <w:t xml:space="preserve">לועזי כדי שמועד התפוגה </w:t>
      </w:r>
      <w:r w:rsidR="00445FDD">
        <w:rPr>
          <w:rFonts w:hint="cs"/>
          <w:rtl/>
        </w:rPr>
        <w:t xml:space="preserve">יהיה </w:t>
      </w:r>
      <w:r w:rsidRPr="008E2919">
        <w:rPr>
          <w:rtl/>
        </w:rPr>
        <w:t>ברור ונהי</w:t>
      </w:r>
      <w:r w:rsidR="008E2919">
        <w:rPr>
          <w:rtl/>
        </w:rPr>
        <w:t>ר לכלל הציבור.</w:t>
      </w:r>
    </w:p>
    <w:p w14:paraId="4D457D0E" w14:textId="1FA75A02" w:rsidR="001B7334" w:rsidRDefault="001B7334" w:rsidP="00445FDD">
      <w:pPr>
        <w:pStyle w:val="Hesber"/>
        <w:rPr>
          <w:rtl/>
        </w:rPr>
      </w:pPr>
      <w:r>
        <w:rPr>
          <w:rFonts w:hint="cs"/>
          <w:rtl/>
        </w:rPr>
        <w:t xml:space="preserve">הצעת חוק זהה הונחה על שולחן הכנסת העשרים ואחת על ידי חבר הכנסת מיכאל </w:t>
      </w:r>
      <w:proofErr w:type="spellStart"/>
      <w:r>
        <w:rPr>
          <w:rFonts w:hint="cs"/>
          <w:rtl/>
        </w:rPr>
        <w:t>מלכיאלי</w:t>
      </w:r>
      <w:proofErr w:type="spellEnd"/>
      <w:r>
        <w:rPr>
          <w:rFonts w:hint="cs"/>
          <w:rtl/>
        </w:rPr>
        <w:t xml:space="preserve"> (פ/528/21).</w:t>
      </w:r>
    </w:p>
    <w:p w14:paraId="1783269A" w14:textId="77777777" w:rsidR="006B285B" w:rsidRDefault="006B285B" w:rsidP="00445FDD">
      <w:pPr>
        <w:pStyle w:val="Hesber"/>
        <w:rPr>
          <w:rtl/>
        </w:rPr>
      </w:pPr>
    </w:p>
    <w:p w14:paraId="75D0043A" w14:textId="77777777" w:rsidR="006B285B" w:rsidRPr="00D73212" w:rsidRDefault="006B285B" w:rsidP="006B285B">
      <w:pPr>
        <w:pStyle w:val="Hesber"/>
        <w:rPr>
          <w:rtl/>
        </w:rPr>
      </w:pPr>
      <w:r w:rsidRPr="00D73212">
        <w:rPr>
          <w:rtl/>
        </w:rPr>
        <w:t>---------------------------------</w:t>
      </w:r>
    </w:p>
    <w:p w14:paraId="483F2187" w14:textId="77777777" w:rsidR="006B285B" w:rsidRPr="00D73212" w:rsidRDefault="006B285B" w:rsidP="006B285B">
      <w:pPr>
        <w:pStyle w:val="Hesber"/>
        <w:rPr>
          <w:rtl/>
        </w:rPr>
      </w:pPr>
      <w:r w:rsidRPr="00D73212">
        <w:rPr>
          <w:rFonts w:hint="cs"/>
          <w:rtl/>
        </w:rPr>
        <w:t>הוגשה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ליו</w:t>
      </w:r>
      <w:r w:rsidRPr="00D73212">
        <w:rPr>
          <w:rtl/>
        </w:rPr>
        <w:t>"</w:t>
      </w:r>
      <w:r w:rsidRPr="00D73212">
        <w:rPr>
          <w:rFonts w:hint="cs"/>
          <w:rtl/>
        </w:rPr>
        <w:t>ר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הכנסת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והסגנים</w:t>
      </w:r>
    </w:p>
    <w:p w14:paraId="38F606A5" w14:textId="77777777" w:rsidR="006B285B" w:rsidRPr="00D73212" w:rsidRDefault="006B285B" w:rsidP="006B285B">
      <w:pPr>
        <w:pStyle w:val="Hesber"/>
        <w:rPr>
          <w:rtl/>
        </w:rPr>
      </w:pPr>
      <w:r w:rsidRPr="00D73212">
        <w:rPr>
          <w:rFonts w:hint="cs"/>
          <w:rtl/>
        </w:rPr>
        <w:t>והונחה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על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שולחן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הכנסת</w:t>
      </w:r>
      <w:r w:rsidRPr="00D73212">
        <w:rPr>
          <w:rtl/>
        </w:rPr>
        <w:t xml:space="preserve"> </w:t>
      </w:r>
      <w:r w:rsidRPr="00D73212">
        <w:rPr>
          <w:rFonts w:hint="cs"/>
          <w:rtl/>
        </w:rPr>
        <w:t>ביום</w:t>
      </w:r>
    </w:p>
    <w:p w14:paraId="20EE6CC8" w14:textId="6EA3D025" w:rsidR="006B285B" w:rsidRDefault="006B285B" w:rsidP="006B285B">
      <w:pPr>
        <w:pStyle w:val="Hesber"/>
        <w:rPr>
          <w:rtl/>
        </w:rPr>
      </w:pPr>
      <w:r>
        <w:rPr>
          <w:rFonts w:hint="cs"/>
          <w:rtl/>
        </w:rPr>
        <w:t>כ"ז בחשוון</w:t>
      </w:r>
      <w:r w:rsidRPr="00D73212">
        <w:rPr>
          <w:rtl/>
        </w:rPr>
        <w:t xml:space="preserve"> </w:t>
      </w:r>
      <w:proofErr w:type="spellStart"/>
      <w:r>
        <w:rPr>
          <w:rFonts w:hint="cs"/>
          <w:rtl/>
        </w:rPr>
        <w:t>התש"ף</w:t>
      </w:r>
      <w:proofErr w:type="spellEnd"/>
      <w:r>
        <w:rPr>
          <w:rFonts w:hint="cs"/>
          <w:rtl/>
        </w:rPr>
        <w:t xml:space="preserve"> </w:t>
      </w:r>
      <w:r w:rsidRPr="00D73212">
        <w:rPr>
          <w:rtl/>
        </w:rPr>
        <w:t>–</w:t>
      </w:r>
      <w:r>
        <w:rPr>
          <w:rFonts w:hint="cs"/>
          <w:rtl/>
        </w:rPr>
        <w:t xml:space="preserve"> 25.11</w:t>
      </w:r>
      <w:r w:rsidRPr="00D73212">
        <w:rPr>
          <w:rtl/>
        </w:rPr>
        <w:t>.</w:t>
      </w:r>
      <w:r>
        <w:rPr>
          <w:rFonts w:hint="cs"/>
          <w:rtl/>
        </w:rPr>
        <w:t xml:space="preserve">19  </w:t>
      </w:r>
    </w:p>
    <w:sectPr w:rsidR="006B285B" w:rsidSect="00800660">
      <w:footerReference w:type="even" r:id="rId11"/>
      <w:footerReference w:type="default" r:id="rId12"/>
      <w:pgSz w:w="11907" w:h="16840" w:code="9"/>
      <w:pgMar w:top="1701" w:right="1134" w:bottom="1417" w:left="1134" w:header="680" w:footer="680" w:gutter="0"/>
      <w:cols w:space="720"/>
      <w:noEndnote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409F" w14:textId="77777777" w:rsidR="00CB77D4" w:rsidRDefault="00CB77D4">
      <w:r>
        <w:separator/>
      </w:r>
    </w:p>
  </w:endnote>
  <w:endnote w:type="continuationSeparator" w:id="0">
    <w:p w14:paraId="076BC3B9" w14:textId="77777777" w:rsidR="00CB77D4" w:rsidRDefault="00CB77D4">
      <w:r>
        <w:continuationSeparator/>
      </w:r>
    </w:p>
  </w:endnote>
  <w:endnote w:type="continuationNotice" w:id="1">
    <w:p w14:paraId="598275F5" w14:textId="77777777" w:rsidR="00CB77D4" w:rsidRDefault="00CB77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6B285B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92118" w14:textId="77777777" w:rsidR="00CB77D4" w:rsidRDefault="00CB77D4" w:rsidP="008A3A50">
      <w:pPr>
        <w:ind w:left="0"/>
      </w:pPr>
      <w:r>
        <w:separator/>
      </w:r>
    </w:p>
  </w:footnote>
  <w:footnote w:type="continuationSeparator" w:id="0">
    <w:p w14:paraId="04229E01" w14:textId="77777777" w:rsidR="00CB77D4" w:rsidRDefault="00CB77D4">
      <w:r>
        <w:continuationSeparator/>
      </w:r>
    </w:p>
  </w:footnote>
  <w:footnote w:type="continuationNotice" w:id="1">
    <w:p w14:paraId="096B8F8E" w14:textId="77777777" w:rsidR="00CB77D4" w:rsidRDefault="00CB77D4"/>
  </w:footnote>
  <w:footnote w:id="2">
    <w:p w14:paraId="50F030EC" w14:textId="77777777" w:rsidR="008A2BCB" w:rsidRDefault="008A2BCB" w:rsidP="008A2BCB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התשמ"א</w:t>
      </w:r>
      <w:proofErr w:type="spellEnd"/>
      <w:r>
        <w:rPr>
          <w:rFonts w:hint="cs"/>
          <w:rtl/>
        </w:rPr>
        <w:t>, עמ' 248.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MjQ0NDY2tTQ2MDRS0lEKTi0uzszPAykwrAUA3c9RYywAAAA="/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2A67"/>
    <w:rsid w:val="00153E1B"/>
    <w:rsid w:val="001A0623"/>
    <w:rsid w:val="001B7334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45FDD"/>
    <w:rsid w:val="0045597B"/>
    <w:rsid w:val="004A06DC"/>
    <w:rsid w:val="004A5B37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D51AE"/>
    <w:rsid w:val="0062674B"/>
    <w:rsid w:val="006363B2"/>
    <w:rsid w:val="00644940"/>
    <w:rsid w:val="00662616"/>
    <w:rsid w:val="006818A9"/>
    <w:rsid w:val="00687B30"/>
    <w:rsid w:val="006A2D81"/>
    <w:rsid w:val="006B285B"/>
    <w:rsid w:val="006C1D0D"/>
    <w:rsid w:val="0070601E"/>
    <w:rsid w:val="00712C72"/>
    <w:rsid w:val="00735FE9"/>
    <w:rsid w:val="00763CAA"/>
    <w:rsid w:val="00765F66"/>
    <w:rsid w:val="0078664F"/>
    <w:rsid w:val="007A27CE"/>
    <w:rsid w:val="007C3FA6"/>
    <w:rsid w:val="007D585A"/>
    <w:rsid w:val="007D5A12"/>
    <w:rsid w:val="007E59F9"/>
    <w:rsid w:val="00800660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2BCB"/>
    <w:rsid w:val="008A3A50"/>
    <w:rsid w:val="008A6870"/>
    <w:rsid w:val="008C2DDC"/>
    <w:rsid w:val="008C7516"/>
    <w:rsid w:val="008E2919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415CB"/>
    <w:rsid w:val="00B733A7"/>
    <w:rsid w:val="00B75C91"/>
    <w:rsid w:val="00B975AD"/>
    <w:rsid w:val="00BC45FB"/>
    <w:rsid w:val="00BD4B05"/>
    <w:rsid w:val="00BF148D"/>
    <w:rsid w:val="00C23B1A"/>
    <w:rsid w:val="00C310EB"/>
    <w:rsid w:val="00C9176A"/>
    <w:rsid w:val="00CB77D4"/>
    <w:rsid w:val="00CF1AA2"/>
    <w:rsid w:val="00D142D3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5A2"/>
    <w:rsid w:val="00E63D38"/>
    <w:rsid w:val="00E665B9"/>
    <w:rsid w:val="00EA01E6"/>
    <w:rsid w:val="00EA3DE8"/>
    <w:rsid w:val="00EA758F"/>
    <w:rsid w:val="00ED4A6F"/>
    <w:rsid w:val="00EE1AF6"/>
    <w:rsid w:val="00EF3A3A"/>
    <w:rsid w:val="00F628D6"/>
    <w:rsid w:val="00F64E95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B715E246-6FDB-4564-844E-672FF15C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0660"/>
    <w:pPr>
      <w:widowControl w:val="0"/>
      <w:bidi/>
      <w:spacing w:line="360" w:lineRule="auto"/>
      <w:ind w:left="340"/>
      <w:contextualSpacing/>
      <w:jc w:val="both"/>
    </w:pPr>
    <w:rPr>
      <w:rFonts w:ascii="David" w:eastAsiaTheme="minorHAnsi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0660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800660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800660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800660"/>
    <w:pPr>
      <w:numPr>
        <w:numId w:val="18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00660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800660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800660"/>
    <w:rPr>
      <w:sz w:val="36"/>
      <w:szCs w:val="52"/>
    </w:rPr>
  </w:style>
  <w:style w:type="paragraph" w:customStyle="1" w:styleId="Cover3-Haknesset">
    <w:name w:val="Cover 3-Haknesset"/>
    <w:basedOn w:val="Cover1-Reshumot"/>
    <w:rsid w:val="00800660"/>
    <w:rPr>
      <w:b/>
      <w:bCs/>
      <w:spacing w:val="60"/>
    </w:rPr>
  </w:style>
  <w:style w:type="paragraph" w:customStyle="1" w:styleId="Cover4-Date">
    <w:name w:val="Cover 4-Date"/>
    <w:basedOn w:val="a"/>
    <w:rsid w:val="00800660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800660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800660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4Futer">
    <w:name w:val="Head HatzaotHok4Futer"/>
    <w:basedOn w:val="HeadHatzaotHok"/>
    <w:rsid w:val="00800660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800660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800660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800660"/>
    <w:pPr>
      <w:outlineLvl w:val="2"/>
    </w:pPr>
  </w:style>
  <w:style w:type="paragraph" w:customStyle="1" w:styleId="TableBlock">
    <w:name w:val="Table Block"/>
    <w:basedOn w:val="TableText"/>
    <w:rsid w:val="00800660"/>
    <w:pPr>
      <w:jc w:val="both"/>
    </w:pPr>
  </w:style>
  <w:style w:type="paragraph" w:customStyle="1" w:styleId="TableHead">
    <w:name w:val="Table Head"/>
    <w:basedOn w:val="TableText"/>
    <w:rsid w:val="00800660"/>
    <w:pPr>
      <w:jc w:val="center"/>
      <w:outlineLvl w:val="1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800660"/>
    <w:pPr>
      <w:outlineLvl w:val="9"/>
    </w:pPr>
  </w:style>
  <w:style w:type="paragraph" w:customStyle="1" w:styleId="Hesber">
    <w:name w:val="Hesber"/>
    <w:basedOn w:val="a"/>
    <w:rsid w:val="00800660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4">
    <w:name w:val="footnote text"/>
    <w:basedOn w:val="a"/>
    <w:autoRedefine/>
    <w:semiHidden/>
    <w:rsid w:val="00800660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800660"/>
    <w:rPr>
      <w:vertAlign w:val="superscript"/>
    </w:rPr>
  </w:style>
  <w:style w:type="paragraph" w:customStyle="1" w:styleId="HesberHeading">
    <w:name w:val="Hesber Heading"/>
    <w:basedOn w:val="Hesber"/>
    <w:rsid w:val="00800660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800660"/>
    <w:pPr>
      <w:spacing w:before="120" w:after="120"/>
      <w:ind w:left="1418"/>
      <w:jc w:val="right"/>
    </w:pPr>
    <w:rPr>
      <w:b/>
      <w:bCs/>
    </w:rPr>
  </w:style>
  <w:style w:type="paragraph" w:customStyle="1" w:styleId="Hesber1st">
    <w:name w:val="Hesber 1st"/>
    <w:basedOn w:val="Hesber"/>
    <w:rsid w:val="00800660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800660"/>
    <w:rPr>
      <w:vertAlign w:val="superscript"/>
    </w:rPr>
  </w:style>
  <w:style w:type="paragraph" w:customStyle="1" w:styleId="TableBlockOutdent">
    <w:name w:val="Table BlockOutdent"/>
    <w:basedOn w:val="TableBlock"/>
    <w:rsid w:val="00800660"/>
    <w:pPr>
      <w:ind w:left="624" w:hanging="624"/>
    </w:pPr>
  </w:style>
  <w:style w:type="paragraph" w:styleId="a7">
    <w:name w:val="header"/>
    <w:basedOn w:val="a"/>
    <w:rsid w:val="00800660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800660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800660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800660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b/>
      <w:bCs/>
      <w:sz w:val="28"/>
      <w:szCs w:val="28"/>
      <w:u w:val="single"/>
    </w:rPr>
  </w:style>
  <w:style w:type="character" w:styleId="aa">
    <w:name w:val="page number"/>
    <w:basedOn w:val="a0"/>
    <w:rsid w:val="00800660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jc w:val="left"/>
    </w:pPr>
    <w:rPr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10">
    <w:name w:val="כותרת 1 תו"/>
    <w:basedOn w:val="a0"/>
    <w:link w:val="1"/>
    <w:uiPriority w:val="9"/>
    <w:rsid w:val="00800660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20">
    <w:name w:val="כותרת 2 תו"/>
    <w:basedOn w:val="a0"/>
    <w:link w:val="2"/>
    <w:rsid w:val="00800660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800660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40">
    <w:name w:val="כותרת 4 תו"/>
    <w:basedOn w:val="a0"/>
    <w:link w:val="4"/>
    <w:uiPriority w:val="9"/>
    <w:rsid w:val="00800660"/>
    <w:rPr>
      <w:rFonts w:ascii="David" w:eastAsiaTheme="minorHAnsi" w:hAnsi="David" w:cs="David"/>
      <w:b/>
      <w:bCs/>
      <w:color w:val="000000" w:themeColor="text1"/>
      <w:sz w:val="24"/>
      <w:szCs w:val="28"/>
    </w:rPr>
  </w:style>
  <w:style w:type="character" w:customStyle="1" w:styleId="50">
    <w:name w:val="כותרת 5 תו"/>
    <w:basedOn w:val="a0"/>
    <w:link w:val="5"/>
    <w:uiPriority w:val="9"/>
    <w:rsid w:val="00800660"/>
    <w:rPr>
      <w:rFonts w:ascii="David" w:eastAsiaTheme="minorHAnsi" w:hAnsi="David" w:cs="David"/>
      <w:color w:val="000000" w:themeColor="text1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800660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800660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800660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800660"/>
    <w:rPr>
      <w:color w:val="0000FF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800660"/>
    <w:pPr>
      <w:numPr>
        <w:numId w:val="21"/>
      </w:numPr>
      <w:tabs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nhideWhenUsed/>
    <w:qFormat/>
    <w:rsid w:val="00800660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800660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800660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800660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800660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800660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800660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800660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800660"/>
    <w:rPr>
      <w:rFonts w:eastAsia="Times New Roman"/>
    </w:rPr>
  </w:style>
  <w:style w:type="paragraph" w:styleId="ae">
    <w:name w:val="List Paragraph"/>
    <w:basedOn w:val="a"/>
    <w:uiPriority w:val="34"/>
    <w:qFormat/>
    <w:rsid w:val="00800660"/>
    <w:pPr>
      <w:widowControl/>
      <w:spacing w:line="259" w:lineRule="auto"/>
    </w:pPr>
    <w:rPr>
      <w:rFonts w:asciiTheme="minorHAnsi" w:hAnsiTheme="minorHAnsi"/>
      <w:sz w:val="22"/>
    </w:rPr>
  </w:style>
  <w:style w:type="table" w:styleId="af">
    <w:name w:val="Table Grid"/>
    <w:basedOn w:val="a1"/>
    <w:rsid w:val="0080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8006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8006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0">
    <w:name w:val="טבלת חקיקה"/>
    <w:basedOn w:val="a1"/>
    <w:uiPriority w:val="99"/>
    <w:rsid w:val="00800660"/>
    <w:pPr>
      <w:jc w:val="center"/>
    </w:pPr>
    <w:rPr>
      <w:rFonts w:cstheme="minorBidi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800660"/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A50981437779E428456932B2A638612" ma:contentTypeVersion="" ma:contentTypeDescription="צור מסמך חדש." ma:contentTypeScope="" ma:versionID="2df30a1b375d11bf545563b3a0868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5a2728251a2ce93c0626b1f2c5b5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908D-A343-4F2F-A811-6B8BE24FB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15B347-2D06-4B82-A8EA-ADF93530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מוריה מזרחי</cp:lastModifiedBy>
  <cp:revision>2</cp:revision>
  <cp:lastPrinted>2019-11-19T08:03:00Z</cp:lastPrinted>
  <dcterms:created xsi:type="dcterms:W3CDTF">2019-11-26T05:52:00Z</dcterms:created>
  <dcterms:modified xsi:type="dcterms:W3CDTF">2019-11-26T05:52:00Z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0x0101003A50981437779E428456932B2A638612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2081510</vt:r8>
  </property>
</Properties>
</file>